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35EB" w14:textId="4C615F8E" w:rsidR="005111BB" w:rsidRPr="00240C3D" w:rsidRDefault="005111BB" w:rsidP="005111BB">
      <w:pPr>
        <w:jc w:val="center"/>
        <w:rPr>
          <w:b/>
          <w:sz w:val="48"/>
          <w:szCs w:val="48"/>
        </w:rPr>
      </w:pPr>
      <w:r w:rsidRPr="00240C3D">
        <w:rPr>
          <w:b/>
          <w:sz w:val="48"/>
          <w:szCs w:val="48"/>
          <w:vertAlign w:val="superscript"/>
        </w:rPr>
        <w:t>31</w:t>
      </w:r>
      <w:r w:rsidRPr="00240C3D">
        <w:rPr>
          <w:b/>
          <w:sz w:val="48"/>
          <w:szCs w:val="48"/>
        </w:rPr>
        <w:t>P NMR Acquisition</w:t>
      </w:r>
      <w:r w:rsidR="00240C3D">
        <w:rPr>
          <w:b/>
          <w:sz w:val="48"/>
          <w:szCs w:val="48"/>
        </w:rPr>
        <w:t xml:space="preserve"> Procedures</w:t>
      </w:r>
    </w:p>
    <w:p w14:paraId="7FCC5642" w14:textId="0D982805" w:rsidR="00240C3D" w:rsidRPr="00240C3D" w:rsidRDefault="005111BB" w:rsidP="00240C3D">
      <w:pPr>
        <w:jc w:val="center"/>
        <w:rPr>
          <w:b/>
          <w:sz w:val="48"/>
          <w:szCs w:val="48"/>
        </w:rPr>
      </w:pPr>
      <w:r w:rsidRPr="00240C3D">
        <w:rPr>
          <w:b/>
          <w:sz w:val="48"/>
          <w:szCs w:val="48"/>
        </w:rPr>
        <w:t xml:space="preserve">For </w:t>
      </w:r>
      <w:r w:rsidR="00240C3D">
        <w:rPr>
          <w:b/>
          <w:sz w:val="48"/>
          <w:szCs w:val="48"/>
        </w:rPr>
        <w:t xml:space="preserve">PSC &amp; </w:t>
      </w:r>
      <w:r w:rsidRPr="00240C3D">
        <w:rPr>
          <w:b/>
          <w:sz w:val="48"/>
          <w:szCs w:val="48"/>
        </w:rPr>
        <w:t>NSC Bruker 400 NMR Spectrometer</w:t>
      </w:r>
      <w:r w:rsidR="00240C3D">
        <w:rPr>
          <w:b/>
          <w:sz w:val="48"/>
          <w:szCs w:val="48"/>
        </w:rPr>
        <w:t>s</w:t>
      </w:r>
      <w:r w:rsidR="00240C3D" w:rsidRPr="00240C3D">
        <w:rPr>
          <w:b/>
          <w:sz w:val="48"/>
          <w:szCs w:val="48"/>
        </w:rPr>
        <w:t xml:space="preserve"> </w:t>
      </w:r>
    </w:p>
    <w:p w14:paraId="08AAC512" w14:textId="77777777" w:rsidR="005111BB" w:rsidRDefault="005111BB" w:rsidP="005111BB">
      <w:pPr>
        <w:jc w:val="center"/>
        <w:rPr>
          <w:b/>
          <w:sz w:val="28"/>
          <w:szCs w:val="28"/>
        </w:rPr>
      </w:pPr>
    </w:p>
    <w:p w14:paraId="1A56EC01" w14:textId="77777777" w:rsidR="005111BB" w:rsidRPr="00240C3D" w:rsidRDefault="005111BB" w:rsidP="005111BB">
      <w:pPr>
        <w:jc w:val="center"/>
        <w:rPr>
          <w:b/>
          <w:sz w:val="32"/>
          <w:szCs w:val="32"/>
        </w:rPr>
      </w:pPr>
      <w:r w:rsidRPr="00240C3D">
        <w:rPr>
          <w:b/>
          <w:sz w:val="32"/>
          <w:szCs w:val="32"/>
        </w:rPr>
        <w:t>Dr. Zhenming Du</w:t>
      </w:r>
    </w:p>
    <w:p w14:paraId="13A89924" w14:textId="77777777" w:rsidR="005111BB" w:rsidRPr="00240C3D" w:rsidRDefault="005111BB" w:rsidP="005111BB">
      <w:pPr>
        <w:jc w:val="center"/>
        <w:rPr>
          <w:b/>
          <w:sz w:val="32"/>
          <w:szCs w:val="32"/>
        </w:rPr>
      </w:pPr>
      <w:r w:rsidRPr="00240C3D">
        <w:rPr>
          <w:sz w:val="32"/>
          <w:szCs w:val="32"/>
        </w:rPr>
        <w:t xml:space="preserve">Email: </w:t>
      </w:r>
      <w:hyperlink r:id="rId7" w:history="1">
        <w:r w:rsidRPr="00240C3D">
          <w:rPr>
            <w:rStyle w:val="Hyperlink"/>
            <w:sz w:val="32"/>
            <w:szCs w:val="32"/>
          </w:rPr>
          <w:t>zdu@gsu.edu</w:t>
        </w:r>
      </w:hyperlink>
      <w:r w:rsidRPr="00240C3D">
        <w:rPr>
          <w:sz w:val="32"/>
          <w:szCs w:val="32"/>
        </w:rPr>
        <w:t xml:space="preserve">  Phone: 3-5538</w:t>
      </w:r>
    </w:p>
    <w:p w14:paraId="4607A516" w14:textId="296EE24A" w:rsidR="005111BB" w:rsidRPr="00240C3D" w:rsidRDefault="005111BB" w:rsidP="005111BB">
      <w:pPr>
        <w:jc w:val="center"/>
        <w:rPr>
          <w:b/>
          <w:sz w:val="32"/>
          <w:szCs w:val="32"/>
        </w:rPr>
      </w:pPr>
      <w:r w:rsidRPr="00240C3D">
        <w:rPr>
          <w:b/>
          <w:sz w:val="32"/>
          <w:szCs w:val="32"/>
        </w:rPr>
        <w:t>Revised 0</w:t>
      </w:r>
      <w:r w:rsidR="00240C3D" w:rsidRPr="00240C3D">
        <w:rPr>
          <w:b/>
          <w:sz w:val="32"/>
          <w:szCs w:val="32"/>
        </w:rPr>
        <w:t>3/28/2024</w:t>
      </w:r>
    </w:p>
    <w:p w14:paraId="244C20DD" w14:textId="2FD65D5B" w:rsidR="00240C3D" w:rsidRPr="00240C3D" w:rsidRDefault="00240C3D" w:rsidP="005111BB">
      <w:pPr>
        <w:rPr>
          <w:b/>
          <w:bCs/>
          <w:sz w:val="48"/>
          <w:szCs w:val="48"/>
          <w:lang w:val="en"/>
        </w:rPr>
      </w:pPr>
      <w:r w:rsidRPr="00240C3D">
        <w:rPr>
          <w:b/>
          <w:bCs/>
          <w:sz w:val="48"/>
          <w:szCs w:val="48"/>
          <w:lang w:val="en"/>
        </w:rPr>
        <w:t>NMR Background:</w:t>
      </w:r>
    </w:p>
    <w:p w14:paraId="12DAE9B9" w14:textId="09693613" w:rsidR="005111BB" w:rsidRDefault="00757BA2" w:rsidP="005111BB">
      <w:pPr>
        <w:rPr>
          <w:b/>
          <w:sz w:val="28"/>
          <w:szCs w:val="28"/>
        </w:rPr>
      </w:pPr>
      <w:r>
        <w:rPr>
          <w:b/>
          <w:bCs/>
          <w:lang w:val="en"/>
        </w:rPr>
        <w:t>Phosphorus-31 NMR</w:t>
      </w:r>
      <w:r>
        <w:rPr>
          <w:lang w:val="en"/>
        </w:rPr>
        <w:t xml:space="preserve"> spectroscopy (NMR stands for </w:t>
      </w:r>
      <w:hyperlink r:id="rId8" w:tooltip="Nuclear magnetic resonance" w:history="1">
        <w:r>
          <w:rPr>
            <w:rStyle w:val="Hyperlink"/>
            <w:lang w:val="en"/>
          </w:rPr>
          <w:t>nuclear magnetic resonance</w:t>
        </w:r>
      </w:hyperlink>
      <w:r>
        <w:rPr>
          <w:lang w:val="en"/>
        </w:rPr>
        <w:t xml:space="preserve">) is an analytical technique. Solution </w:t>
      </w:r>
      <w:r>
        <w:rPr>
          <w:vertAlign w:val="superscript"/>
          <w:lang w:val="en"/>
        </w:rPr>
        <w:t>31</w:t>
      </w:r>
      <w:r>
        <w:rPr>
          <w:lang w:val="en"/>
        </w:rPr>
        <w:t xml:space="preserve">P-NMR is one of the more routine NMR techniques because </w:t>
      </w:r>
      <w:r>
        <w:rPr>
          <w:vertAlign w:val="superscript"/>
          <w:lang w:val="en"/>
        </w:rPr>
        <w:t>31</w:t>
      </w:r>
      <w:r>
        <w:rPr>
          <w:lang w:val="en"/>
        </w:rPr>
        <w:t xml:space="preserve">P has an </w:t>
      </w:r>
      <w:hyperlink r:id="rId9" w:tooltip="Isotopic abundance" w:history="1">
        <w:r>
          <w:rPr>
            <w:rStyle w:val="Hyperlink"/>
            <w:lang w:val="en"/>
          </w:rPr>
          <w:t>isotopic abundance</w:t>
        </w:r>
      </w:hyperlink>
      <w:r>
        <w:rPr>
          <w:lang w:val="en"/>
        </w:rPr>
        <w:t xml:space="preserve"> of 100% and a relatively high </w:t>
      </w:r>
      <w:hyperlink r:id="rId10" w:tooltip="Magnetogyric ratio" w:history="1">
        <w:r>
          <w:rPr>
            <w:rStyle w:val="Hyperlink"/>
            <w:lang w:val="en"/>
          </w:rPr>
          <w:t>magnetogyric ratio</w:t>
        </w:r>
      </w:hyperlink>
      <w:r>
        <w:rPr>
          <w:lang w:val="en"/>
        </w:rPr>
        <w:t xml:space="preserve">. The </w:t>
      </w:r>
      <w:r>
        <w:rPr>
          <w:vertAlign w:val="superscript"/>
          <w:lang w:val="en"/>
        </w:rPr>
        <w:t>31</w:t>
      </w:r>
      <w:r>
        <w:rPr>
          <w:lang w:val="en"/>
        </w:rPr>
        <w:t xml:space="preserve">P nucleus also has a spin of ½, making spectra relatively easy to interpret. Phosphorus is commonly found in </w:t>
      </w:r>
      <w:hyperlink r:id="rId11" w:tooltip="Organic compound" w:history="1">
        <w:r>
          <w:rPr>
            <w:rStyle w:val="Hyperlink"/>
            <w:lang w:val="en"/>
          </w:rPr>
          <w:t>organic compounds</w:t>
        </w:r>
      </w:hyperlink>
      <w:r>
        <w:rPr>
          <w:lang w:val="en"/>
        </w:rPr>
        <w:t xml:space="preserve"> and coordination complexes (as </w:t>
      </w:r>
      <w:hyperlink r:id="rId12" w:tooltip="Phosphines" w:history="1">
        <w:r>
          <w:rPr>
            <w:rStyle w:val="Hyperlink"/>
            <w:lang w:val="en"/>
          </w:rPr>
          <w:t>phosphines</w:t>
        </w:r>
      </w:hyperlink>
      <w:r>
        <w:rPr>
          <w:lang w:val="en"/>
        </w:rPr>
        <w:t xml:space="preserve">), making it useful to measure </w:t>
      </w:r>
      <w:r>
        <w:rPr>
          <w:vertAlign w:val="superscript"/>
          <w:lang w:val="en"/>
        </w:rPr>
        <w:t>31</w:t>
      </w:r>
      <w:r>
        <w:rPr>
          <w:lang w:val="en"/>
        </w:rPr>
        <w:t>P NMR spectra routinely.</w:t>
      </w:r>
    </w:p>
    <w:p w14:paraId="73452875" w14:textId="77777777" w:rsidR="00757BA2" w:rsidRDefault="00757BA2" w:rsidP="00757BA2">
      <w:pPr>
        <w:pStyle w:val="NormalWeb"/>
        <w:rPr>
          <w:lang w:val="en"/>
        </w:rPr>
      </w:pPr>
      <w:r>
        <w:rPr>
          <w:lang w:val="en"/>
        </w:rPr>
        <w:t xml:space="preserve">With a magnetogyric ratio 42.5% of that for </w:t>
      </w:r>
      <w:r>
        <w:rPr>
          <w:vertAlign w:val="superscript"/>
          <w:lang w:val="en"/>
        </w:rPr>
        <w:t>1</w:t>
      </w:r>
      <w:r>
        <w:rPr>
          <w:lang w:val="en"/>
        </w:rPr>
        <w:t xml:space="preserve">H, </w:t>
      </w:r>
      <w:r>
        <w:rPr>
          <w:vertAlign w:val="superscript"/>
          <w:lang w:val="en"/>
        </w:rPr>
        <w:t>31</w:t>
      </w:r>
      <w:r>
        <w:rPr>
          <w:lang w:val="en"/>
        </w:rPr>
        <w:t xml:space="preserve">P NMR signals are observed near 161.976 MHz on a 9.40 Tesla magnet (used for 400 MHz </w:t>
      </w:r>
      <w:r>
        <w:rPr>
          <w:vertAlign w:val="superscript"/>
          <w:lang w:val="en"/>
        </w:rPr>
        <w:t>1</w:t>
      </w:r>
      <w:r>
        <w:rPr>
          <w:lang w:val="en"/>
        </w:rPr>
        <w:t xml:space="preserve">H NMR measuements). Chemical shifts are referenced to 85% </w:t>
      </w:r>
      <w:hyperlink r:id="rId13" w:tooltip="Phosphoric acid" w:history="1">
        <w:r>
          <w:rPr>
            <w:rStyle w:val="Hyperlink"/>
            <w:lang w:val="en"/>
          </w:rPr>
          <w:t>phosphoric acid</w:t>
        </w:r>
      </w:hyperlink>
      <w:r>
        <w:rPr>
          <w:lang w:val="en"/>
        </w:rPr>
        <w:t>, which is assigned the chemical shift of 0, with positive shifts to low field/high frequency.</w:t>
      </w:r>
      <w:hyperlink r:id="rId14" w:anchor="cite_note-hoffman-1" w:history="1">
        <w:r>
          <w:rPr>
            <w:color w:val="0000FF"/>
            <w:u w:val="single"/>
            <w:vertAlign w:val="superscript"/>
            <w:lang w:val="en"/>
          </w:rPr>
          <w:t>[1]</w:t>
        </w:r>
      </w:hyperlink>
      <w:r>
        <w:rPr>
          <w:lang w:val="en"/>
        </w:rPr>
        <w:t xml:space="preserve"> Due to the inconsistent </w:t>
      </w:r>
      <w:hyperlink r:id="rId15" w:tooltip="Nuclear Overhauser effect" w:history="1">
        <w:r>
          <w:rPr>
            <w:rStyle w:val="Hyperlink"/>
            <w:lang w:val="en"/>
          </w:rPr>
          <w:t>nuclear Overhauser effect</w:t>
        </w:r>
      </w:hyperlink>
      <w:r>
        <w:rPr>
          <w:lang w:val="en"/>
        </w:rPr>
        <w:t>, integrations are not useful.</w:t>
      </w:r>
      <w:hyperlink r:id="rId16" w:anchor="cite_note-hoffman-1" w:history="1">
        <w:r>
          <w:rPr>
            <w:color w:val="0000FF"/>
            <w:u w:val="single"/>
            <w:vertAlign w:val="superscript"/>
            <w:lang w:val="en"/>
          </w:rPr>
          <w:t>[1]</w:t>
        </w:r>
      </w:hyperlink>
      <w:r>
        <w:rPr>
          <w:lang w:val="en"/>
        </w:rPr>
        <w:t xml:space="preserve"> Most often, spectra are recorded with protons decoupled.</w:t>
      </w:r>
    </w:p>
    <w:p w14:paraId="3F2E10EE" w14:textId="77777777" w:rsidR="00757BA2" w:rsidRDefault="00757BA2" w:rsidP="00757BA2">
      <w:pPr>
        <w:pStyle w:val="NormalWeb"/>
        <w:rPr>
          <w:lang w:val="en"/>
        </w:rPr>
      </w:pPr>
      <w:r>
        <w:rPr>
          <w:lang w:val="en"/>
        </w:rPr>
        <w:t xml:space="preserve">The ordinary range of chemical shifts ranges from abut δ250 to -δ250, which is much wider than typical for </w:t>
      </w:r>
      <w:r>
        <w:rPr>
          <w:vertAlign w:val="superscript"/>
          <w:lang w:val="en"/>
        </w:rPr>
        <w:t>1</w:t>
      </w:r>
      <w:r>
        <w:rPr>
          <w:lang w:val="en"/>
        </w:rPr>
        <w:t>H NMR.</w:t>
      </w:r>
    </w:p>
    <w:p w14:paraId="654C6130" w14:textId="77777777" w:rsidR="00757BA2" w:rsidRPr="00757BA2" w:rsidRDefault="00757BA2" w:rsidP="005111BB">
      <w:pPr>
        <w:rPr>
          <w:b/>
          <w:sz w:val="28"/>
          <w:szCs w:val="28"/>
          <w:lang w:val="en"/>
        </w:rPr>
      </w:pPr>
    </w:p>
    <w:p w14:paraId="1C90AF01" w14:textId="5BAB4244" w:rsidR="00057888" w:rsidRPr="00057888" w:rsidRDefault="00057888" w:rsidP="005111BB">
      <w:pPr>
        <w:rPr>
          <w:b/>
          <w:bCs/>
          <w:sz w:val="48"/>
          <w:szCs w:val="48"/>
          <w:lang w:val="en"/>
        </w:rPr>
      </w:pPr>
      <w:r w:rsidRPr="00057888">
        <w:rPr>
          <w:b/>
          <w:bCs/>
          <w:sz w:val="48"/>
          <w:szCs w:val="48"/>
          <w:lang w:val="en"/>
        </w:rPr>
        <w:t>NMR Reference Standard Used for Setup:</w:t>
      </w:r>
    </w:p>
    <w:p w14:paraId="36C1BB87" w14:textId="77777777" w:rsidR="005111BB" w:rsidRPr="005111BB" w:rsidRDefault="005111BB" w:rsidP="005111BB">
      <w:pPr>
        <w:shd w:val="clear" w:color="auto" w:fill="F9F9F9"/>
        <w:spacing w:after="285" w:line="240" w:lineRule="auto"/>
        <w:outlineLvl w:val="2"/>
        <w:rPr>
          <w:rFonts w:ascii="Arial" w:eastAsia="Times New Roman" w:hAnsi="Arial" w:cs="Arial"/>
          <w:b/>
          <w:bCs/>
          <w:color w:val="0084CA"/>
          <w:sz w:val="27"/>
          <w:szCs w:val="27"/>
          <w:lang w:val="en"/>
        </w:rPr>
      </w:pPr>
      <w:r w:rsidRPr="005111BB">
        <w:rPr>
          <w:rFonts w:ascii="Arial" w:eastAsia="Times New Roman" w:hAnsi="Arial" w:cs="Arial"/>
          <w:b/>
          <w:bCs/>
          <w:color w:val="0084CA"/>
          <w:sz w:val="27"/>
          <w:szCs w:val="27"/>
          <w:lang w:val="en"/>
        </w:rPr>
        <w:t xml:space="preserve">31P Sensitivity - 0.0485M Triphenylphosphate </w:t>
      </w:r>
    </w:p>
    <w:p w14:paraId="4143EBFB" w14:textId="77777777" w:rsidR="005111BB" w:rsidRDefault="005111BB" w:rsidP="005111BB">
      <w:pPr>
        <w:rPr>
          <w:rFonts w:ascii="Arial" w:eastAsia="Times New Roman" w:hAnsi="Arial" w:cs="Arial"/>
          <w:color w:val="777777"/>
          <w:sz w:val="18"/>
          <w:szCs w:val="18"/>
          <w:lang w:val="en"/>
        </w:rPr>
      </w:pPr>
      <w:r w:rsidRPr="005111BB">
        <w:rPr>
          <w:rFonts w:ascii="Arial" w:eastAsia="Times New Roman" w:hAnsi="Arial" w:cs="Arial"/>
          <w:color w:val="777777"/>
          <w:sz w:val="18"/>
          <w:szCs w:val="18"/>
          <w:lang w:val="en"/>
        </w:rPr>
        <w:t xml:space="preserve">Reference standard sample - 31P Sensitivity, 5 mm Ø, 0.0485 M Triphenylphosphate (TPP) in Acetone-d6. </w:t>
      </w:r>
    </w:p>
    <w:p w14:paraId="65C0D007" w14:textId="77777777" w:rsidR="005111BB" w:rsidRDefault="005111BB" w:rsidP="005111BB">
      <w:pPr>
        <w:rPr>
          <w:rFonts w:ascii="Arial" w:eastAsia="Times New Roman" w:hAnsi="Arial" w:cs="Arial"/>
          <w:color w:val="777777"/>
          <w:sz w:val="18"/>
          <w:szCs w:val="18"/>
          <w:lang w:val="en"/>
        </w:rPr>
      </w:pPr>
      <w:r>
        <w:rPr>
          <w:noProof/>
          <w:color w:val="0000FF"/>
        </w:rPr>
        <w:lastRenderedPageBreak/>
        <w:drawing>
          <wp:inline distT="0" distB="0" distL="0" distR="0" wp14:anchorId="3C6D4780" wp14:editId="475CD97C">
            <wp:extent cx="2667000" cy="1905000"/>
            <wp:effectExtent l="0" t="0" r="0" b="0"/>
            <wp:docPr id="28" name="Picture 28" descr="http://www.sigmaaldrich.com/medium/structureimages/31/mfcd00003031.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igmaaldrich.com/medium/structureimages/31/mfcd00003031.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0" cy="1905000"/>
                    </a:xfrm>
                    <a:prstGeom prst="rect">
                      <a:avLst/>
                    </a:prstGeom>
                    <a:noFill/>
                    <a:ln>
                      <a:noFill/>
                    </a:ln>
                  </pic:spPr>
                </pic:pic>
              </a:graphicData>
            </a:graphic>
          </wp:inline>
        </w:drawing>
      </w:r>
    </w:p>
    <w:p w14:paraId="30F98033" w14:textId="77777777" w:rsidR="00693BB0" w:rsidRDefault="00693BB0" w:rsidP="005111BB">
      <w:pPr>
        <w:jc w:val="center"/>
        <w:rPr>
          <w:b/>
          <w:sz w:val="28"/>
          <w:szCs w:val="28"/>
        </w:rPr>
      </w:pPr>
      <w:r>
        <w:rPr>
          <w:b/>
          <w:noProof/>
          <w:sz w:val="28"/>
          <w:szCs w:val="28"/>
        </w:rPr>
        <w:drawing>
          <wp:inline distT="0" distB="0" distL="0" distR="0" wp14:anchorId="501037AC" wp14:editId="13C700AB">
            <wp:extent cx="4003675" cy="2342756"/>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11763" cy="2347488"/>
                    </a:xfrm>
                    <a:prstGeom prst="rect">
                      <a:avLst/>
                    </a:prstGeom>
                    <a:noFill/>
                    <a:ln>
                      <a:noFill/>
                    </a:ln>
                  </pic:spPr>
                </pic:pic>
              </a:graphicData>
            </a:graphic>
          </wp:inline>
        </w:drawing>
      </w:r>
    </w:p>
    <w:p w14:paraId="0736D2BD" w14:textId="77777777" w:rsidR="00057888" w:rsidRDefault="00057888" w:rsidP="005111BB">
      <w:pPr>
        <w:rPr>
          <w:b/>
        </w:rPr>
      </w:pPr>
    </w:p>
    <w:p w14:paraId="0E1318E5" w14:textId="0CFF1442" w:rsidR="00057888" w:rsidRPr="00057888" w:rsidRDefault="00057888" w:rsidP="00057888">
      <w:pPr>
        <w:rPr>
          <w:b/>
          <w:bCs/>
          <w:sz w:val="48"/>
          <w:szCs w:val="48"/>
          <w:lang w:val="en"/>
        </w:rPr>
      </w:pPr>
      <w:r w:rsidRPr="00057888">
        <w:rPr>
          <w:b/>
          <w:bCs/>
          <w:sz w:val="48"/>
          <w:szCs w:val="48"/>
          <w:vertAlign w:val="superscript"/>
          <w:lang w:val="en"/>
        </w:rPr>
        <w:t>31</w:t>
      </w:r>
      <w:r>
        <w:rPr>
          <w:b/>
          <w:bCs/>
          <w:sz w:val="48"/>
          <w:szCs w:val="48"/>
          <w:lang w:val="en"/>
        </w:rPr>
        <w:t>P NMR Operation Procedures:</w:t>
      </w:r>
    </w:p>
    <w:p w14:paraId="6EB7EE54" w14:textId="5D3F401A" w:rsidR="005111BB" w:rsidRPr="00057888" w:rsidRDefault="005111BB" w:rsidP="005111BB">
      <w:pPr>
        <w:rPr>
          <w:bCs/>
          <w:sz w:val="32"/>
          <w:szCs w:val="32"/>
        </w:rPr>
      </w:pPr>
      <w:r w:rsidRPr="00057888">
        <w:rPr>
          <w:bCs/>
          <w:sz w:val="32"/>
          <w:szCs w:val="32"/>
        </w:rPr>
        <w:t xml:space="preserve">Assuming you are familiar with routine </w:t>
      </w:r>
      <w:r w:rsidRPr="00057888">
        <w:rPr>
          <w:bCs/>
          <w:sz w:val="32"/>
          <w:szCs w:val="32"/>
          <w:vertAlign w:val="superscript"/>
        </w:rPr>
        <w:t>1</w:t>
      </w:r>
      <w:r w:rsidRPr="00057888">
        <w:rPr>
          <w:bCs/>
          <w:sz w:val="32"/>
          <w:szCs w:val="32"/>
        </w:rPr>
        <w:t xml:space="preserve">H and </w:t>
      </w:r>
      <w:r w:rsidRPr="00057888">
        <w:rPr>
          <w:bCs/>
          <w:sz w:val="32"/>
          <w:szCs w:val="32"/>
          <w:vertAlign w:val="superscript"/>
        </w:rPr>
        <w:t>13</w:t>
      </w:r>
      <w:r w:rsidRPr="00057888">
        <w:rPr>
          <w:bCs/>
          <w:sz w:val="32"/>
          <w:szCs w:val="32"/>
        </w:rPr>
        <w:t xml:space="preserve">C </w:t>
      </w:r>
    </w:p>
    <w:p w14:paraId="213F0980" w14:textId="77777777" w:rsidR="005111BB" w:rsidRPr="00057888" w:rsidRDefault="005111BB" w:rsidP="005111BB">
      <w:pPr>
        <w:rPr>
          <w:bCs/>
          <w:sz w:val="32"/>
          <w:szCs w:val="32"/>
        </w:rPr>
      </w:pPr>
      <w:r w:rsidRPr="00057888">
        <w:rPr>
          <w:bCs/>
          <w:sz w:val="32"/>
          <w:szCs w:val="32"/>
        </w:rPr>
        <w:t>LC=Left click; DC=double left click</w:t>
      </w:r>
    </w:p>
    <w:p w14:paraId="0A5C2615" w14:textId="3BF62C10" w:rsidR="005111BB" w:rsidRPr="00057888" w:rsidRDefault="005111BB" w:rsidP="005111BB">
      <w:pPr>
        <w:rPr>
          <w:bCs/>
          <w:sz w:val="32"/>
          <w:szCs w:val="32"/>
        </w:rPr>
      </w:pPr>
      <w:r w:rsidRPr="00057888">
        <w:rPr>
          <w:bCs/>
          <w:sz w:val="32"/>
          <w:szCs w:val="32"/>
        </w:rPr>
        <w:t>Black and bold command need to be typed and followed with enter</w:t>
      </w:r>
      <w:r w:rsidR="00057888">
        <w:rPr>
          <w:bCs/>
          <w:sz w:val="32"/>
          <w:szCs w:val="32"/>
        </w:rPr>
        <w:t xml:space="preserve"> commond</w:t>
      </w:r>
      <w:r w:rsidRPr="00057888">
        <w:rPr>
          <w:bCs/>
          <w:sz w:val="32"/>
          <w:szCs w:val="32"/>
        </w:rPr>
        <w:t>.</w:t>
      </w:r>
    </w:p>
    <w:p w14:paraId="0C2D980C" w14:textId="77777777" w:rsidR="005111BB" w:rsidRDefault="005111BB" w:rsidP="005111BB">
      <w:pPr>
        <w:rPr>
          <w:b/>
        </w:rPr>
      </w:pPr>
    </w:p>
    <w:p w14:paraId="4C2EC279" w14:textId="77777777" w:rsidR="005111BB" w:rsidRDefault="005111BB" w:rsidP="005111BB">
      <w:pPr>
        <w:rPr>
          <w:b/>
        </w:rPr>
      </w:pPr>
      <w:r>
        <w:rPr>
          <w:b/>
        </w:rPr>
        <w:t>PSC Data Directory: C:\Bruker\TopspinX.X\data\nmr\</w:t>
      </w:r>
      <w:r w:rsidRPr="0010340C">
        <w:rPr>
          <w:b/>
        </w:rPr>
        <w:t>‘</w:t>
      </w:r>
      <w:r>
        <w:rPr>
          <w:b/>
        </w:rPr>
        <w:t>userid</w:t>
      </w:r>
      <w:r w:rsidRPr="0010340C">
        <w:rPr>
          <w:b/>
        </w:rPr>
        <w:t>’</w:t>
      </w:r>
    </w:p>
    <w:p w14:paraId="38E78C0D" w14:textId="77777777" w:rsidR="005111BB" w:rsidRDefault="005111BB" w:rsidP="005111BB">
      <w:pPr>
        <w:rPr>
          <w:b/>
        </w:rPr>
      </w:pPr>
      <w:r>
        <w:rPr>
          <w:b/>
        </w:rPr>
        <w:t>NSC Data Directory: /opt/topspin2.1/data/‘userid</w:t>
      </w:r>
      <w:r w:rsidRPr="0010340C">
        <w:rPr>
          <w:b/>
        </w:rPr>
        <w:t>’</w:t>
      </w:r>
    </w:p>
    <w:p w14:paraId="25F49E60" w14:textId="77777777" w:rsidR="005111BB" w:rsidRDefault="005111BB" w:rsidP="005111BB">
      <w:pPr>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700"/>
        <w:gridCol w:w="5760"/>
      </w:tblGrid>
      <w:tr w:rsidR="005111BB" w:rsidRPr="0010340C" w14:paraId="61717213" w14:textId="77777777" w:rsidTr="00656F47">
        <w:tc>
          <w:tcPr>
            <w:tcW w:w="1008" w:type="dxa"/>
            <w:shd w:val="clear" w:color="auto" w:fill="auto"/>
          </w:tcPr>
          <w:p w14:paraId="346C7F93" w14:textId="77777777" w:rsidR="005111BB" w:rsidRPr="0010340C" w:rsidRDefault="005111BB" w:rsidP="00656F47">
            <w:pPr>
              <w:rPr>
                <w:b/>
              </w:rPr>
            </w:pPr>
            <w:r w:rsidRPr="0010340C">
              <w:rPr>
                <w:b/>
              </w:rPr>
              <w:lastRenderedPageBreak/>
              <w:t>Step</w:t>
            </w:r>
          </w:p>
        </w:tc>
        <w:tc>
          <w:tcPr>
            <w:tcW w:w="2700" w:type="dxa"/>
            <w:shd w:val="clear" w:color="auto" w:fill="auto"/>
          </w:tcPr>
          <w:p w14:paraId="4166F4CE" w14:textId="77777777" w:rsidR="005111BB" w:rsidRPr="0010340C" w:rsidRDefault="005111BB" w:rsidP="00656F47">
            <w:pPr>
              <w:rPr>
                <w:b/>
              </w:rPr>
            </w:pPr>
            <w:r w:rsidRPr="0010340C">
              <w:rPr>
                <w:b/>
              </w:rPr>
              <w:t>Command</w:t>
            </w:r>
          </w:p>
        </w:tc>
        <w:tc>
          <w:tcPr>
            <w:tcW w:w="5760" w:type="dxa"/>
            <w:shd w:val="clear" w:color="auto" w:fill="auto"/>
          </w:tcPr>
          <w:p w14:paraId="25CA6AD7" w14:textId="77777777" w:rsidR="005111BB" w:rsidRPr="0010340C" w:rsidRDefault="005111BB" w:rsidP="00656F47">
            <w:pPr>
              <w:rPr>
                <w:b/>
              </w:rPr>
            </w:pPr>
            <w:r w:rsidRPr="0010340C">
              <w:rPr>
                <w:b/>
              </w:rPr>
              <w:t>Notes</w:t>
            </w:r>
          </w:p>
        </w:tc>
      </w:tr>
      <w:tr w:rsidR="005111BB" w:rsidRPr="0010340C" w14:paraId="53D8327B" w14:textId="77777777" w:rsidTr="00656F47">
        <w:tc>
          <w:tcPr>
            <w:tcW w:w="1008" w:type="dxa"/>
            <w:shd w:val="clear" w:color="auto" w:fill="auto"/>
          </w:tcPr>
          <w:p w14:paraId="5832370A" w14:textId="77777777" w:rsidR="005111BB" w:rsidRPr="0010340C" w:rsidRDefault="005111BB" w:rsidP="00656F47">
            <w:pPr>
              <w:jc w:val="center"/>
              <w:rPr>
                <w:b/>
              </w:rPr>
            </w:pPr>
            <w:r w:rsidRPr="0010340C">
              <w:rPr>
                <w:b/>
              </w:rPr>
              <w:t>1</w:t>
            </w:r>
          </w:p>
        </w:tc>
        <w:tc>
          <w:tcPr>
            <w:tcW w:w="2700" w:type="dxa"/>
            <w:shd w:val="clear" w:color="auto" w:fill="auto"/>
          </w:tcPr>
          <w:p w14:paraId="1976694E" w14:textId="77777777" w:rsidR="005111BB" w:rsidRPr="00F03E27" w:rsidRDefault="005111BB" w:rsidP="00656F47">
            <w:r w:rsidRPr="00F03E27">
              <w:t>Login to the computer</w:t>
            </w:r>
          </w:p>
        </w:tc>
        <w:tc>
          <w:tcPr>
            <w:tcW w:w="5760" w:type="dxa"/>
            <w:shd w:val="clear" w:color="auto" w:fill="auto"/>
          </w:tcPr>
          <w:p w14:paraId="6EB293AC" w14:textId="77777777" w:rsidR="005111BB" w:rsidRPr="0010340C" w:rsidRDefault="005111BB" w:rsidP="00656F47">
            <w:pPr>
              <w:rPr>
                <w:b/>
              </w:rPr>
            </w:pPr>
            <w:r>
              <w:rPr>
                <w:b/>
              </w:rPr>
              <w:t>DO</w:t>
            </w:r>
            <w:r w:rsidRPr="0010340C">
              <w:rPr>
                <w:b/>
              </w:rPr>
              <w:t xml:space="preserve"> NOT </w:t>
            </w:r>
            <w:r>
              <w:t xml:space="preserve">share your user ID with unauthorized user. </w:t>
            </w:r>
          </w:p>
        </w:tc>
      </w:tr>
      <w:tr w:rsidR="005111BB" w:rsidRPr="0010340C" w14:paraId="1BDD1253" w14:textId="77777777" w:rsidTr="00656F47">
        <w:tc>
          <w:tcPr>
            <w:tcW w:w="1008" w:type="dxa"/>
            <w:shd w:val="clear" w:color="auto" w:fill="auto"/>
          </w:tcPr>
          <w:p w14:paraId="28158269" w14:textId="77777777" w:rsidR="005111BB" w:rsidRPr="0010340C" w:rsidRDefault="005111BB" w:rsidP="00656F47">
            <w:pPr>
              <w:jc w:val="center"/>
              <w:rPr>
                <w:b/>
              </w:rPr>
            </w:pPr>
            <w:r w:rsidRPr="0010340C">
              <w:rPr>
                <w:b/>
              </w:rPr>
              <w:t>2</w:t>
            </w:r>
          </w:p>
        </w:tc>
        <w:tc>
          <w:tcPr>
            <w:tcW w:w="2700" w:type="dxa"/>
            <w:shd w:val="clear" w:color="auto" w:fill="auto"/>
          </w:tcPr>
          <w:p w14:paraId="5C38B4EF" w14:textId="77777777" w:rsidR="005111BB" w:rsidRPr="0010340C" w:rsidRDefault="005111BB" w:rsidP="00656F47">
            <w:pPr>
              <w:rPr>
                <w:b/>
              </w:rPr>
            </w:pPr>
            <w:r>
              <w:t>Start Topspin</w:t>
            </w:r>
          </w:p>
        </w:tc>
        <w:tc>
          <w:tcPr>
            <w:tcW w:w="5760" w:type="dxa"/>
            <w:shd w:val="clear" w:color="auto" w:fill="auto"/>
          </w:tcPr>
          <w:p w14:paraId="068216E9" w14:textId="4C8E6027" w:rsidR="005111BB" w:rsidRDefault="005111BB" w:rsidP="00656F47">
            <w:r>
              <w:t>PSC: Use Topspin</w:t>
            </w:r>
            <w:r w:rsidR="00240C3D">
              <w:t xml:space="preserve"> x.x as stated in proton acquisition procedure</w:t>
            </w:r>
            <w:r>
              <w:t>;</w:t>
            </w:r>
          </w:p>
          <w:p w14:paraId="47B59334" w14:textId="6463350B" w:rsidR="005111BB" w:rsidRPr="007B6E63" w:rsidRDefault="00240C3D" w:rsidP="00E91B17">
            <w:r>
              <w:t xml:space="preserve">NSC </w:t>
            </w:r>
            <w:r>
              <w:t>: Use Topspin x.x as stated in proton acquisition procedure</w:t>
            </w:r>
            <w:r w:rsidR="00E91B17">
              <w:t>.</w:t>
            </w:r>
          </w:p>
        </w:tc>
      </w:tr>
      <w:tr w:rsidR="005111BB" w:rsidRPr="0010340C" w14:paraId="693A2B3F" w14:textId="77777777" w:rsidTr="00656F47">
        <w:tc>
          <w:tcPr>
            <w:tcW w:w="1008" w:type="dxa"/>
            <w:shd w:val="clear" w:color="auto" w:fill="auto"/>
          </w:tcPr>
          <w:p w14:paraId="0B14CB3A" w14:textId="77777777" w:rsidR="005111BB" w:rsidRPr="0010340C" w:rsidRDefault="005111BB" w:rsidP="00656F47">
            <w:pPr>
              <w:jc w:val="center"/>
              <w:rPr>
                <w:b/>
              </w:rPr>
            </w:pPr>
            <w:r w:rsidRPr="0010340C">
              <w:rPr>
                <w:b/>
              </w:rPr>
              <w:t>3</w:t>
            </w:r>
          </w:p>
        </w:tc>
        <w:tc>
          <w:tcPr>
            <w:tcW w:w="2700" w:type="dxa"/>
            <w:shd w:val="clear" w:color="auto" w:fill="auto"/>
          </w:tcPr>
          <w:p w14:paraId="37C53814" w14:textId="77777777" w:rsidR="005111BB" w:rsidRPr="0010340C" w:rsidRDefault="005111BB" w:rsidP="00656F47">
            <w:pPr>
              <w:rPr>
                <w:b/>
              </w:rPr>
            </w:pPr>
            <w:r w:rsidRPr="0010340C">
              <w:rPr>
                <w:b/>
              </w:rPr>
              <w:t xml:space="preserve">Open  </w:t>
            </w:r>
            <w:r>
              <w:rPr>
                <w:b/>
              </w:rPr>
              <w:t>an old s</w:t>
            </w:r>
            <w:r w:rsidRPr="0010340C">
              <w:rPr>
                <w:b/>
              </w:rPr>
              <w:t>pectrum and type ‘new’</w:t>
            </w:r>
          </w:p>
        </w:tc>
        <w:tc>
          <w:tcPr>
            <w:tcW w:w="5760" w:type="dxa"/>
            <w:shd w:val="clear" w:color="auto" w:fill="auto"/>
          </w:tcPr>
          <w:p w14:paraId="24052019" w14:textId="77777777" w:rsidR="005111BB" w:rsidRPr="0010340C" w:rsidRDefault="005111BB" w:rsidP="00656F47">
            <w:pPr>
              <w:rPr>
                <w:i/>
              </w:rPr>
            </w:pPr>
            <w:r>
              <w:rPr>
                <w:i/>
              </w:rPr>
              <w:t xml:space="preserve">Open </w:t>
            </w:r>
            <w:r w:rsidRPr="0010340C">
              <w:rPr>
                <w:i/>
              </w:rPr>
              <w:t>Dataset window</w:t>
            </w:r>
            <w:r>
              <w:rPr>
                <w:i/>
              </w:rPr>
              <w:t xml:space="preserve">. </w:t>
            </w:r>
          </w:p>
          <w:p w14:paraId="73AD27D6" w14:textId="77777777" w:rsidR="005111BB" w:rsidRPr="007B6E63" w:rsidRDefault="005111BB" w:rsidP="00656F47">
            <w:r w:rsidRPr="007B6E63">
              <w:t xml:space="preserve">Type in a </w:t>
            </w:r>
            <w:r w:rsidRPr="0010340C">
              <w:rPr>
                <w:i/>
              </w:rPr>
              <w:t xml:space="preserve">dataset name </w:t>
            </w:r>
            <w:r w:rsidRPr="007B6E63">
              <w:t>in the appropriate box</w:t>
            </w:r>
          </w:p>
          <w:p w14:paraId="54DE24E4" w14:textId="77777777" w:rsidR="005111BB" w:rsidRPr="007B6E63" w:rsidRDefault="005111BB" w:rsidP="00656F47">
            <w:pPr>
              <w:ind w:right="-720"/>
            </w:pPr>
            <w:r w:rsidRPr="007B6E63">
              <w:t>Type in a title for the experiment</w:t>
            </w:r>
          </w:p>
        </w:tc>
      </w:tr>
      <w:tr w:rsidR="005111BB" w:rsidRPr="0010340C" w14:paraId="32D679DF" w14:textId="77777777" w:rsidTr="00656F47">
        <w:tc>
          <w:tcPr>
            <w:tcW w:w="1008" w:type="dxa"/>
            <w:shd w:val="clear" w:color="auto" w:fill="auto"/>
          </w:tcPr>
          <w:p w14:paraId="779A09B8" w14:textId="77777777" w:rsidR="005111BB" w:rsidRPr="0010340C" w:rsidRDefault="005111BB" w:rsidP="00656F47">
            <w:pPr>
              <w:jc w:val="center"/>
              <w:rPr>
                <w:b/>
              </w:rPr>
            </w:pPr>
            <w:r w:rsidRPr="0010340C">
              <w:rPr>
                <w:b/>
              </w:rPr>
              <w:t>4</w:t>
            </w:r>
          </w:p>
        </w:tc>
        <w:tc>
          <w:tcPr>
            <w:tcW w:w="2700" w:type="dxa"/>
            <w:shd w:val="clear" w:color="auto" w:fill="auto"/>
          </w:tcPr>
          <w:p w14:paraId="6B73BF05" w14:textId="77777777" w:rsidR="005111BB" w:rsidRPr="0010340C" w:rsidRDefault="005111BB" w:rsidP="00656F47">
            <w:pPr>
              <w:rPr>
                <w:b/>
              </w:rPr>
            </w:pPr>
            <w:r w:rsidRPr="0010340C">
              <w:rPr>
                <w:b/>
              </w:rPr>
              <w:t>bsmsdisp  &lt;</w:t>
            </w:r>
            <w:r w:rsidRPr="007B6E63">
              <w:t>etr</w:t>
            </w:r>
            <w:r w:rsidRPr="0010340C">
              <w:rPr>
                <w:b/>
              </w:rPr>
              <w:t>&gt;</w:t>
            </w:r>
          </w:p>
        </w:tc>
        <w:tc>
          <w:tcPr>
            <w:tcW w:w="5760" w:type="dxa"/>
            <w:shd w:val="clear" w:color="auto" w:fill="auto"/>
          </w:tcPr>
          <w:p w14:paraId="5274014D" w14:textId="77777777" w:rsidR="005111BB" w:rsidRPr="007B6E63" w:rsidRDefault="005111BB" w:rsidP="00656F47">
            <w:r w:rsidRPr="007B6E63">
              <w:t>Unlock (</w:t>
            </w:r>
            <w:r w:rsidRPr="00EE23F2">
              <w:rPr>
                <w:u w:val="single"/>
              </w:rPr>
              <w:t>make sure lockon-off button is not highlighted</w:t>
            </w:r>
            <w:r>
              <w:t>)</w:t>
            </w:r>
          </w:p>
          <w:p w14:paraId="4762C2C2" w14:textId="77777777" w:rsidR="005111BB" w:rsidRPr="007B6E63" w:rsidRDefault="005111BB" w:rsidP="00656F47">
            <w:r w:rsidRPr="007B6E63">
              <w:t>Unspin (</w:t>
            </w:r>
            <w:r w:rsidRPr="00EE23F2">
              <w:rPr>
                <w:u w:val="single"/>
              </w:rPr>
              <w:t>make sure spin button is not highlighted</w:t>
            </w:r>
            <w:r>
              <w:t>)</w:t>
            </w:r>
            <w:r w:rsidRPr="007B6E63">
              <w:t xml:space="preserve">. </w:t>
            </w:r>
          </w:p>
        </w:tc>
      </w:tr>
      <w:tr w:rsidR="005111BB" w:rsidRPr="0010340C" w14:paraId="07E0DA50" w14:textId="77777777" w:rsidTr="00656F47">
        <w:tc>
          <w:tcPr>
            <w:tcW w:w="1008" w:type="dxa"/>
            <w:shd w:val="clear" w:color="auto" w:fill="auto"/>
          </w:tcPr>
          <w:p w14:paraId="690E4157" w14:textId="77777777" w:rsidR="005111BB" w:rsidRPr="0010340C" w:rsidRDefault="005111BB" w:rsidP="00656F47">
            <w:pPr>
              <w:jc w:val="center"/>
              <w:rPr>
                <w:b/>
              </w:rPr>
            </w:pPr>
            <w:r w:rsidRPr="0010340C">
              <w:rPr>
                <w:b/>
              </w:rPr>
              <w:t>5</w:t>
            </w:r>
          </w:p>
        </w:tc>
        <w:tc>
          <w:tcPr>
            <w:tcW w:w="2700" w:type="dxa"/>
            <w:shd w:val="clear" w:color="auto" w:fill="auto"/>
          </w:tcPr>
          <w:p w14:paraId="62EDA4EF" w14:textId="77777777" w:rsidR="005111BB" w:rsidRPr="0010340C" w:rsidRDefault="005111BB" w:rsidP="00656F47">
            <w:pPr>
              <w:rPr>
                <w:b/>
              </w:rPr>
            </w:pPr>
            <w:r w:rsidRPr="0010340C">
              <w:rPr>
                <w:b/>
              </w:rPr>
              <w:t>ej &lt;</w:t>
            </w:r>
            <w:r w:rsidRPr="007B6E63">
              <w:t>etr</w:t>
            </w:r>
            <w:r w:rsidRPr="0010340C">
              <w:rPr>
                <w:b/>
              </w:rPr>
              <w:t>&gt;</w:t>
            </w:r>
          </w:p>
        </w:tc>
        <w:tc>
          <w:tcPr>
            <w:tcW w:w="5760" w:type="dxa"/>
            <w:shd w:val="clear" w:color="auto" w:fill="auto"/>
          </w:tcPr>
          <w:p w14:paraId="51DD481A" w14:textId="77777777" w:rsidR="005111BB" w:rsidRPr="007B6E63" w:rsidRDefault="005111BB" w:rsidP="00656F47">
            <w:pPr>
              <w:ind w:right="-108"/>
            </w:pPr>
            <w:r>
              <w:rPr>
                <w:i/>
              </w:rPr>
              <w:t xml:space="preserve">Eject sample </w:t>
            </w:r>
            <w:r w:rsidRPr="0010340C">
              <w:rPr>
                <w:i/>
              </w:rPr>
              <w:t>from the magnet</w:t>
            </w:r>
            <w:r>
              <w:rPr>
                <w:i/>
              </w:rPr>
              <w:t>.</w:t>
            </w:r>
          </w:p>
          <w:p w14:paraId="31240123" w14:textId="77777777" w:rsidR="005111BB" w:rsidRDefault="005111BB" w:rsidP="00656F47">
            <w:pPr>
              <w:ind w:right="-108"/>
            </w:pPr>
            <w:r w:rsidRPr="007B6E63">
              <w:t>Remove spinner turbine from the top of the magnet</w:t>
            </w:r>
            <w:r>
              <w:t>;</w:t>
            </w:r>
          </w:p>
          <w:p w14:paraId="4D4C6093" w14:textId="77777777" w:rsidR="005111BB" w:rsidRDefault="005111BB" w:rsidP="00656F47">
            <w:pPr>
              <w:ind w:right="-108"/>
            </w:pPr>
            <w:r>
              <w:t>Do not lean on magnet;</w:t>
            </w:r>
          </w:p>
          <w:p w14:paraId="0621BE79" w14:textId="77777777" w:rsidR="005111BB" w:rsidRDefault="005111BB" w:rsidP="00656F47">
            <w:pPr>
              <w:ind w:right="-108"/>
            </w:pPr>
            <w:r w:rsidRPr="007B6E63">
              <w:t>Take out D</w:t>
            </w:r>
            <w:r w:rsidRPr="0097179B">
              <w:rPr>
                <w:vertAlign w:val="subscript"/>
              </w:rPr>
              <w:t>2</w:t>
            </w:r>
            <w:r w:rsidRPr="007B6E63">
              <w:t>O sample from the spinner turbine</w:t>
            </w:r>
            <w:r>
              <w:t>;</w:t>
            </w:r>
          </w:p>
          <w:p w14:paraId="5794DDFB" w14:textId="77777777" w:rsidR="005111BB" w:rsidRDefault="005111BB" w:rsidP="00656F47">
            <w:pPr>
              <w:ind w:right="-108"/>
            </w:pPr>
            <w:r w:rsidRPr="007B6E63">
              <w:t xml:space="preserve">Position your sample </w:t>
            </w:r>
            <w:r>
              <w:t>using the sample depth gauge;</w:t>
            </w:r>
            <w:r w:rsidRPr="007B6E63">
              <w:t xml:space="preserve"> </w:t>
            </w:r>
          </w:p>
          <w:p w14:paraId="0514BE9A" w14:textId="77777777" w:rsidR="005111BB" w:rsidRPr="007B6E63" w:rsidRDefault="005111BB" w:rsidP="00656F47">
            <w:pPr>
              <w:ind w:right="-108"/>
            </w:pPr>
            <w:r w:rsidRPr="007B6E63">
              <w:t>Mak</w:t>
            </w:r>
            <w:r>
              <w:t xml:space="preserve">e </w:t>
            </w:r>
            <w:r w:rsidRPr="007B6E63">
              <w:t xml:space="preserve">sure the eject air is still ON (should hear the eject air), place the turbine with your sample on top of the magnet at the magnet upper barrel opening. </w:t>
            </w:r>
          </w:p>
        </w:tc>
      </w:tr>
      <w:tr w:rsidR="005111BB" w:rsidRPr="0010340C" w14:paraId="12BBF283" w14:textId="77777777" w:rsidTr="00656F47">
        <w:tc>
          <w:tcPr>
            <w:tcW w:w="1008" w:type="dxa"/>
            <w:shd w:val="clear" w:color="auto" w:fill="auto"/>
          </w:tcPr>
          <w:p w14:paraId="5823E3A9" w14:textId="77777777" w:rsidR="005111BB" w:rsidRPr="0010340C" w:rsidRDefault="005111BB" w:rsidP="00656F47">
            <w:pPr>
              <w:jc w:val="center"/>
              <w:rPr>
                <w:b/>
              </w:rPr>
            </w:pPr>
            <w:r w:rsidRPr="0010340C">
              <w:rPr>
                <w:b/>
              </w:rPr>
              <w:t>6</w:t>
            </w:r>
          </w:p>
        </w:tc>
        <w:tc>
          <w:tcPr>
            <w:tcW w:w="2700" w:type="dxa"/>
            <w:shd w:val="clear" w:color="auto" w:fill="auto"/>
          </w:tcPr>
          <w:p w14:paraId="73E1B7DD" w14:textId="77777777" w:rsidR="005111BB" w:rsidRPr="0010340C" w:rsidRDefault="005111BB" w:rsidP="00656F47">
            <w:pPr>
              <w:rPr>
                <w:b/>
              </w:rPr>
            </w:pPr>
            <w:r w:rsidRPr="0010340C">
              <w:rPr>
                <w:b/>
              </w:rPr>
              <w:t>ij  &lt;</w:t>
            </w:r>
            <w:r w:rsidRPr="007B6E63">
              <w:t>etr</w:t>
            </w:r>
            <w:r w:rsidRPr="0010340C">
              <w:rPr>
                <w:b/>
              </w:rPr>
              <w:t>&gt;</w:t>
            </w:r>
          </w:p>
        </w:tc>
        <w:tc>
          <w:tcPr>
            <w:tcW w:w="5760" w:type="dxa"/>
            <w:shd w:val="clear" w:color="auto" w:fill="auto"/>
          </w:tcPr>
          <w:p w14:paraId="35578196" w14:textId="77777777" w:rsidR="005111BB" w:rsidRPr="0010340C" w:rsidRDefault="005111BB" w:rsidP="00656F47">
            <w:pPr>
              <w:ind w:right="-108"/>
              <w:rPr>
                <w:i/>
              </w:rPr>
            </w:pPr>
            <w:r>
              <w:rPr>
                <w:i/>
              </w:rPr>
              <w:t>Insert s</w:t>
            </w:r>
            <w:r w:rsidRPr="0010340C">
              <w:rPr>
                <w:i/>
              </w:rPr>
              <w:t>ample into the magnet.</w:t>
            </w:r>
          </w:p>
          <w:p w14:paraId="79132B55" w14:textId="77777777" w:rsidR="005111BB" w:rsidRDefault="005111BB" w:rsidP="00656F47">
            <w:pPr>
              <w:ind w:right="-108"/>
            </w:pPr>
            <w:r w:rsidRPr="0010340C">
              <w:rPr>
                <w:i/>
              </w:rPr>
              <w:t xml:space="preserve"> </w:t>
            </w:r>
            <w:r>
              <w:rPr>
                <w:i/>
              </w:rPr>
              <w:t xml:space="preserve">Double check that the sample status on the bsmsdisp window showing </w:t>
            </w:r>
            <w:r w:rsidRPr="0010340C">
              <w:rPr>
                <w:b/>
              </w:rPr>
              <w:t>‘</w:t>
            </w:r>
            <w:r>
              <w:rPr>
                <w:b/>
              </w:rPr>
              <w:t>down</w:t>
            </w:r>
            <w:r w:rsidRPr="0010340C">
              <w:rPr>
                <w:b/>
              </w:rPr>
              <w:t>’</w:t>
            </w:r>
            <w:r>
              <w:rPr>
                <w:i/>
              </w:rPr>
              <w:t xml:space="preserve"> </w:t>
            </w:r>
            <w:r w:rsidRPr="007B6E63">
              <w:t xml:space="preserve">. </w:t>
            </w:r>
          </w:p>
          <w:p w14:paraId="6F7265E5" w14:textId="77777777" w:rsidR="005111BB" w:rsidRPr="007B6E63" w:rsidRDefault="005111BB" w:rsidP="00656F47">
            <w:pPr>
              <w:ind w:right="-108"/>
            </w:pPr>
            <w:r>
              <w:t>C</w:t>
            </w:r>
            <w:r w:rsidRPr="007B6E63">
              <w:t>lose BSMSDISP display window.</w:t>
            </w:r>
            <w:r>
              <w:t xml:space="preserve"> </w:t>
            </w:r>
          </w:p>
        </w:tc>
      </w:tr>
      <w:tr w:rsidR="005111BB" w:rsidRPr="0010340C" w14:paraId="3EC60901" w14:textId="77777777" w:rsidTr="00656F47">
        <w:tc>
          <w:tcPr>
            <w:tcW w:w="1008" w:type="dxa"/>
            <w:shd w:val="clear" w:color="auto" w:fill="auto"/>
          </w:tcPr>
          <w:p w14:paraId="4F5349DB" w14:textId="77777777" w:rsidR="005111BB" w:rsidRPr="00C644B8" w:rsidRDefault="005111BB" w:rsidP="00656F47">
            <w:pPr>
              <w:jc w:val="center"/>
              <w:rPr>
                <w:b/>
                <w:color w:val="FF0000"/>
              </w:rPr>
            </w:pPr>
            <w:r w:rsidRPr="00C644B8">
              <w:rPr>
                <w:b/>
                <w:color w:val="FF0000"/>
              </w:rPr>
              <w:t>7</w:t>
            </w:r>
          </w:p>
        </w:tc>
        <w:tc>
          <w:tcPr>
            <w:tcW w:w="2700" w:type="dxa"/>
            <w:shd w:val="clear" w:color="auto" w:fill="auto"/>
          </w:tcPr>
          <w:p w14:paraId="49452E39" w14:textId="77777777" w:rsidR="005111BB" w:rsidRPr="00C644B8" w:rsidRDefault="005111BB" w:rsidP="00656F47">
            <w:pPr>
              <w:rPr>
                <w:b/>
                <w:color w:val="FF0000"/>
              </w:rPr>
            </w:pPr>
          </w:p>
          <w:p w14:paraId="7E0B2E79" w14:textId="77777777" w:rsidR="005111BB" w:rsidRPr="00C644B8" w:rsidRDefault="005111BB" w:rsidP="00656F47">
            <w:pPr>
              <w:rPr>
                <w:b/>
                <w:color w:val="FF0000"/>
              </w:rPr>
            </w:pPr>
            <w:r w:rsidRPr="00C644B8">
              <w:rPr>
                <w:b/>
                <w:color w:val="FF0000"/>
              </w:rPr>
              <w:t xml:space="preserve">rpar </w:t>
            </w:r>
            <w:r w:rsidRPr="00C644B8">
              <w:rPr>
                <w:color w:val="FF0000"/>
              </w:rPr>
              <w:t>&lt;etr&gt;</w:t>
            </w:r>
          </w:p>
        </w:tc>
        <w:tc>
          <w:tcPr>
            <w:tcW w:w="5760" w:type="dxa"/>
            <w:shd w:val="clear" w:color="auto" w:fill="auto"/>
          </w:tcPr>
          <w:p w14:paraId="0E02DC22" w14:textId="77777777" w:rsidR="005111BB" w:rsidRPr="00C644B8" w:rsidRDefault="005111BB" w:rsidP="00656F47">
            <w:pPr>
              <w:rPr>
                <w:color w:val="000000" w:themeColor="text1"/>
              </w:rPr>
            </w:pPr>
            <w:r w:rsidRPr="00C644B8">
              <w:rPr>
                <w:color w:val="000000" w:themeColor="text1"/>
              </w:rPr>
              <w:t>read an appropriate parameter set for expt.</w:t>
            </w:r>
          </w:p>
          <w:p w14:paraId="1EC3C7B7" w14:textId="77777777" w:rsidR="005111BB" w:rsidRPr="00C644B8" w:rsidRDefault="005111BB" w:rsidP="00656F47">
            <w:pPr>
              <w:rPr>
                <w:i/>
                <w:color w:val="000000" w:themeColor="text1"/>
              </w:rPr>
            </w:pPr>
            <w:r w:rsidRPr="00C644B8">
              <w:rPr>
                <w:i/>
                <w:color w:val="000000" w:themeColor="text1"/>
              </w:rPr>
              <w:t>For proton: rpar ‘Proton’;</w:t>
            </w:r>
          </w:p>
          <w:p w14:paraId="64DA4598" w14:textId="471EA855" w:rsidR="00E91B17" w:rsidRDefault="00E91B17" w:rsidP="00C644B8">
            <w:pPr>
              <w:rPr>
                <w:i/>
                <w:color w:val="FF0000"/>
              </w:rPr>
            </w:pPr>
            <w:r>
              <w:rPr>
                <w:i/>
                <w:color w:val="FF0000"/>
              </w:rPr>
              <w:t xml:space="preserve">NSC: </w:t>
            </w:r>
            <w:r w:rsidR="00C644B8" w:rsidRPr="00C644B8">
              <w:rPr>
                <w:i/>
                <w:color w:val="FF0000"/>
              </w:rPr>
              <w:t>For P31, rpar “duz_P31”</w:t>
            </w:r>
            <w:r w:rsidR="002960A4">
              <w:rPr>
                <w:i/>
                <w:color w:val="FF0000"/>
              </w:rPr>
              <w:t xml:space="preserve"> or duz_P31CPD </w:t>
            </w:r>
            <w:r w:rsidR="00C644B8" w:rsidRPr="00C644B8">
              <w:rPr>
                <w:i/>
                <w:color w:val="FF0000"/>
              </w:rPr>
              <w:t xml:space="preserve"> from</w:t>
            </w:r>
            <w:r>
              <w:rPr>
                <w:i/>
                <w:color w:val="FF0000"/>
              </w:rPr>
              <w:t xml:space="preserve"> user pull down menu.</w:t>
            </w:r>
          </w:p>
          <w:p w14:paraId="08DFDBF8" w14:textId="2B09E6E3" w:rsidR="00E91B17" w:rsidRDefault="00E91B17" w:rsidP="00C644B8">
            <w:pPr>
              <w:rPr>
                <w:i/>
                <w:color w:val="FF0000"/>
              </w:rPr>
            </w:pPr>
            <w:r>
              <w:rPr>
                <w:i/>
                <w:color w:val="FF0000"/>
              </w:rPr>
              <w:lastRenderedPageBreak/>
              <w:t>PSC: For P31, rpar P31</w:t>
            </w:r>
            <w:r w:rsidR="002960A4">
              <w:rPr>
                <w:i/>
                <w:color w:val="FF0000"/>
              </w:rPr>
              <w:t xml:space="preserve"> or P31CPD </w:t>
            </w:r>
            <w:r>
              <w:rPr>
                <w:i/>
                <w:color w:val="FF0000"/>
              </w:rPr>
              <w:t xml:space="preserve"> from regular data set.</w:t>
            </w:r>
          </w:p>
          <w:p w14:paraId="068BDDBB" w14:textId="292BEA00" w:rsidR="005111BB" w:rsidRPr="00C644B8" w:rsidRDefault="00C644B8" w:rsidP="00792B26">
            <w:pPr>
              <w:rPr>
                <w:color w:val="FF0000"/>
              </w:rPr>
            </w:pPr>
            <w:r w:rsidRPr="00C644B8">
              <w:rPr>
                <w:i/>
                <w:color w:val="FF0000"/>
              </w:rPr>
              <w:t xml:space="preserve"> /opt/topspin2.1/exp/stan/pp/nmr/par/user</w:t>
            </w:r>
            <w:r w:rsidR="005111BB" w:rsidRPr="00C644B8">
              <w:rPr>
                <w:i/>
                <w:color w:val="FF0000"/>
              </w:rPr>
              <w:t xml:space="preserve">         </w:t>
            </w:r>
          </w:p>
        </w:tc>
      </w:tr>
      <w:tr w:rsidR="005111BB" w:rsidRPr="0010340C" w14:paraId="2BDE8DE5" w14:textId="77777777" w:rsidTr="00656F47">
        <w:tc>
          <w:tcPr>
            <w:tcW w:w="1008" w:type="dxa"/>
            <w:shd w:val="clear" w:color="auto" w:fill="auto"/>
          </w:tcPr>
          <w:p w14:paraId="4E543C6F" w14:textId="77777777" w:rsidR="005111BB" w:rsidRPr="0010340C" w:rsidRDefault="005111BB" w:rsidP="00656F47">
            <w:pPr>
              <w:jc w:val="center"/>
              <w:rPr>
                <w:b/>
              </w:rPr>
            </w:pPr>
            <w:r>
              <w:rPr>
                <w:b/>
              </w:rPr>
              <w:lastRenderedPageBreak/>
              <w:t>8</w:t>
            </w:r>
          </w:p>
        </w:tc>
        <w:tc>
          <w:tcPr>
            <w:tcW w:w="2700" w:type="dxa"/>
            <w:shd w:val="clear" w:color="auto" w:fill="auto"/>
          </w:tcPr>
          <w:p w14:paraId="109F5CB2" w14:textId="77777777" w:rsidR="005111BB" w:rsidRPr="0010340C" w:rsidRDefault="005111BB" w:rsidP="00656F47">
            <w:pPr>
              <w:rPr>
                <w:b/>
              </w:rPr>
            </w:pPr>
            <w:r w:rsidRPr="0010340C">
              <w:rPr>
                <w:b/>
              </w:rPr>
              <w:t>lockdisp</w:t>
            </w:r>
            <w:r w:rsidRPr="007B6E63">
              <w:t xml:space="preserve"> &lt;etr&gt;</w:t>
            </w:r>
            <w:r w:rsidRPr="007B6E63">
              <w:tab/>
            </w:r>
            <w:r w:rsidRPr="007B6E63">
              <w:tab/>
            </w:r>
          </w:p>
        </w:tc>
        <w:tc>
          <w:tcPr>
            <w:tcW w:w="5760" w:type="dxa"/>
            <w:shd w:val="clear" w:color="auto" w:fill="auto"/>
          </w:tcPr>
          <w:p w14:paraId="4CB3E17E" w14:textId="77777777" w:rsidR="005111BB" w:rsidRPr="007B6E63" w:rsidRDefault="005111BB" w:rsidP="00656F47">
            <w:r w:rsidRPr="0010340C">
              <w:rPr>
                <w:i/>
              </w:rPr>
              <w:t>Lock display window opens up</w:t>
            </w:r>
            <w:r w:rsidRPr="0010340C">
              <w:rPr>
                <w:i/>
              </w:rPr>
              <w:tab/>
            </w:r>
          </w:p>
        </w:tc>
      </w:tr>
      <w:tr w:rsidR="005111BB" w:rsidRPr="0010340C" w14:paraId="680ADEAB" w14:textId="77777777" w:rsidTr="00656F47">
        <w:tc>
          <w:tcPr>
            <w:tcW w:w="1008" w:type="dxa"/>
            <w:shd w:val="clear" w:color="auto" w:fill="auto"/>
          </w:tcPr>
          <w:p w14:paraId="13F64BFB" w14:textId="77777777" w:rsidR="005111BB" w:rsidRPr="0010340C" w:rsidRDefault="005111BB" w:rsidP="00656F47">
            <w:pPr>
              <w:jc w:val="center"/>
              <w:rPr>
                <w:b/>
              </w:rPr>
            </w:pPr>
            <w:r>
              <w:rPr>
                <w:b/>
              </w:rPr>
              <w:t>9</w:t>
            </w:r>
          </w:p>
        </w:tc>
        <w:tc>
          <w:tcPr>
            <w:tcW w:w="2700" w:type="dxa"/>
            <w:shd w:val="clear" w:color="auto" w:fill="auto"/>
          </w:tcPr>
          <w:p w14:paraId="6ACDA217" w14:textId="77777777" w:rsidR="005111BB" w:rsidRPr="0010340C" w:rsidRDefault="005111BB" w:rsidP="00656F47">
            <w:pPr>
              <w:rPr>
                <w:b/>
              </w:rPr>
            </w:pPr>
            <w:r w:rsidRPr="0010340C">
              <w:rPr>
                <w:b/>
              </w:rPr>
              <w:t xml:space="preserve">rsh </w:t>
            </w:r>
            <w:r w:rsidRPr="007B6E63">
              <w:t>&lt;etr&gt;</w:t>
            </w:r>
          </w:p>
        </w:tc>
        <w:tc>
          <w:tcPr>
            <w:tcW w:w="5760" w:type="dxa"/>
            <w:shd w:val="clear" w:color="auto" w:fill="auto"/>
          </w:tcPr>
          <w:p w14:paraId="6DD03840" w14:textId="77777777" w:rsidR="005111BB" w:rsidRPr="007B6E63" w:rsidRDefault="005111BB" w:rsidP="00656F47">
            <w:pPr>
              <w:ind w:right="-108"/>
            </w:pPr>
            <w:r w:rsidRPr="007B6E63">
              <w:t>s</w:t>
            </w:r>
            <w:r w:rsidRPr="0010340C">
              <w:rPr>
                <w:i/>
              </w:rPr>
              <w:t>him file list opens up.</w:t>
            </w:r>
            <w:r w:rsidRPr="007B6E63">
              <w:t xml:space="preserve"> LC on the file “lastbestbbo” or some </w:t>
            </w:r>
            <w:r>
              <w:t xml:space="preserve">other </w:t>
            </w:r>
            <w:r w:rsidRPr="007B6E63">
              <w:t>file</w:t>
            </w:r>
            <w:r>
              <w:t xml:space="preserve">s with </w:t>
            </w:r>
            <w:r w:rsidRPr="007B6E63">
              <w:t xml:space="preserve"> </w:t>
            </w:r>
            <w:r>
              <w:t xml:space="preserve">the same </w:t>
            </w:r>
            <w:r w:rsidRPr="007B6E63">
              <w:t>solvent.</w:t>
            </w:r>
          </w:p>
        </w:tc>
      </w:tr>
      <w:tr w:rsidR="005111BB" w:rsidRPr="0010340C" w14:paraId="36A955F3" w14:textId="77777777" w:rsidTr="00656F47">
        <w:tc>
          <w:tcPr>
            <w:tcW w:w="1008" w:type="dxa"/>
            <w:shd w:val="clear" w:color="auto" w:fill="auto"/>
          </w:tcPr>
          <w:p w14:paraId="040D23DC" w14:textId="77777777" w:rsidR="005111BB" w:rsidRPr="0010340C" w:rsidRDefault="005111BB" w:rsidP="00656F47">
            <w:pPr>
              <w:jc w:val="center"/>
              <w:rPr>
                <w:b/>
              </w:rPr>
            </w:pPr>
            <w:r w:rsidRPr="0010340C">
              <w:rPr>
                <w:b/>
              </w:rPr>
              <w:t>1</w:t>
            </w:r>
            <w:r>
              <w:rPr>
                <w:b/>
              </w:rPr>
              <w:t>0</w:t>
            </w:r>
          </w:p>
        </w:tc>
        <w:tc>
          <w:tcPr>
            <w:tcW w:w="2700" w:type="dxa"/>
            <w:shd w:val="clear" w:color="auto" w:fill="auto"/>
          </w:tcPr>
          <w:p w14:paraId="07256B51" w14:textId="77777777" w:rsidR="005111BB" w:rsidRPr="0010340C" w:rsidRDefault="005111BB" w:rsidP="00656F47">
            <w:pPr>
              <w:rPr>
                <w:b/>
              </w:rPr>
            </w:pPr>
            <w:r w:rsidRPr="0010340C">
              <w:rPr>
                <w:b/>
              </w:rPr>
              <w:t>lock</w:t>
            </w:r>
            <w:r w:rsidRPr="007B6E63">
              <w:t xml:space="preserve"> &lt;etr&gt;</w:t>
            </w:r>
            <w:r w:rsidRPr="007B6E63">
              <w:tab/>
            </w:r>
            <w:r w:rsidRPr="007B6E63">
              <w:tab/>
            </w:r>
          </w:p>
        </w:tc>
        <w:tc>
          <w:tcPr>
            <w:tcW w:w="5760" w:type="dxa"/>
            <w:shd w:val="clear" w:color="auto" w:fill="auto"/>
          </w:tcPr>
          <w:p w14:paraId="4192C556" w14:textId="77777777" w:rsidR="005111BB" w:rsidRPr="007B6E63" w:rsidRDefault="005111BB" w:rsidP="00656F47">
            <w:r w:rsidRPr="007B6E63">
              <w:t>LC on the appropriate lock solvent. Wait until “lock</w:t>
            </w:r>
            <w:r>
              <w:t>in</w:t>
            </w:r>
            <w:r w:rsidRPr="007B6E63">
              <w:t>:finished” message appears</w:t>
            </w:r>
          </w:p>
        </w:tc>
      </w:tr>
      <w:tr w:rsidR="005111BB" w:rsidRPr="0010340C" w14:paraId="5A388883" w14:textId="77777777" w:rsidTr="00656F47">
        <w:tc>
          <w:tcPr>
            <w:tcW w:w="1008" w:type="dxa"/>
            <w:shd w:val="clear" w:color="auto" w:fill="auto"/>
          </w:tcPr>
          <w:p w14:paraId="19531FB9" w14:textId="77777777" w:rsidR="005111BB" w:rsidRPr="0010340C" w:rsidRDefault="005111BB" w:rsidP="00656F47">
            <w:pPr>
              <w:jc w:val="center"/>
              <w:rPr>
                <w:b/>
              </w:rPr>
            </w:pPr>
            <w:r>
              <w:rPr>
                <w:b/>
              </w:rPr>
              <w:t>11</w:t>
            </w:r>
          </w:p>
        </w:tc>
        <w:tc>
          <w:tcPr>
            <w:tcW w:w="2700" w:type="dxa"/>
            <w:shd w:val="clear" w:color="auto" w:fill="auto"/>
          </w:tcPr>
          <w:p w14:paraId="24F4CAE2" w14:textId="77777777" w:rsidR="005111BB" w:rsidRPr="00F627D8" w:rsidRDefault="005111BB" w:rsidP="00656F47">
            <w:pPr>
              <w:rPr>
                <w:rStyle w:val="SubtleEmphasis"/>
                <w:b/>
                <w:color w:val="000000"/>
              </w:rPr>
            </w:pPr>
            <w:r w:rsidRPr="00F627D8">
              <w:rPr>
                <w:rStyle w:val="SubtleEmphasis"/>
                <w:b/>
                <w:color w:val="000000"/>
              </w:rPr>
              <w:t>atma &lt;</w:t>
            </w:r>
            <w:r w:rsidRPr="00F627D8">
              <w:rPr>
                <w:rStyle w:val="SubtleEmphasis"/>
                <w:color w:val="000000"/>
              </w:rPr>
              <w:t>etr</w:t>
            </w:r>
            <w:r w:rsidRPr="00F627D8">
              <w:rPr>
                <w:rStyle w:val="SubtleEmphasis"/>
                <w:b/>
                <w:color w:val="000000"/>
              </w:rPr>
              <w:t>&gt;</w:t>
            </w:r>
          </w:p>
        </w:tc>
        <w:tc>
          <w:tcPr>
            <w:tcW w:w="5760" w:type="dxa"/>
            <w:shd w:val="clear" w:color="auto" w:fill="auto"/>
          </w:tcPr>
          <w:p w14:paraId="5E180F4D" w14:textId="77777777" w:rsidR="005111BB" w:rsidRPr="00F17FB4" w:rsidRDefault="005111BB" w:rsidP="00656F47">
            <w:pPr>
              <w:ind w:right="-108"/>
              <w:rPr>
                <w:rStyle w:val="SubtleEmphasis"/>
                <w:color w:val="000000"/>
              </w:rPr>
            </w:pPr>
            <w:r w:rsidRPr="00F17FB4">
              <w:rPr>
                <w:rStyle w:val="SubtleEmphasis"/>
                <w:color w:val="000000"/>
              </w:rPr>
              <w:t xml:space="preserve">Automatic probe tuning and match starts. </w:t>
            </w:r>
          </w:p>
          <w:p w14:paraId="66A81B9F" w14:textId="53FF7E0F" w:rsidR="005111BB" w:rsidRPr="00F17FB4" w:rsidRDefault="005111BB" w:rsidP="00656F47">
            <w:pPr>
              <w:ind w:right="-108"/>
              <w:rPr>
                <w:rStyle w:val="SubtleEmphasis"/>
                <w:color w:val="000000"/>
              </w:rPr>
            </w:pPr>
            <w:r w:rsidRPr="00F17FB4">
              <w:rPr>
                <w:rStyle w:val="SubtleEmphasis"/>
                <w:color w:val="000000"/>
              </w:rPr>
              <w:t xml:space="preserve">Wait till “atma:finished” message appears. </w:t>
            </w:r>
            <w:r>
              <w:rPr>
                <w:rStyle w:val="SubtleEmphasis"/>
                <w:color w:val="000000"/>
              </w:rPr>
              <w:t xml:space="preserve">For </w:t>
            </w:r>
            <w:r w:rsidR="00E91B17">
              <w:rPr>
                <w:rStyle w:val="SubtleEmphasis"/>
                <w:color w:val="000000"/>
              </w:rPr>
              <w:t xml:space="preserve">P31 NMR, </w:t>
            </w:r>
            <w:r>
              <w:rPr>
                <w:rStyle w:val="SubtleEmphasis"/>
                <w:color w:val="000000"/>
              </w:rPr>
              <w:t xml:space="preserve"> experiments, please confirm that this is finished as it tunes both </w:t>
            </w:r>
            <w:r w:rsidR="00E91B17">
              <w:rPr>
                <w:rStyle w:val="SubtleEmphasis"/>
                <w:color w:val="000000"/>
              </w:rPr>
              <w:t>P31</w:t>
            </w:r>
            <w:r>
              <w:rPr>
                <w:rStyle w:val="SubtleEmphasis"/>
                <w:color w:val="000000"/>
              </w:rPr>
              <w:t xml:space="preserve"> and proton channels.</w:t>
            </w:r>
          </w:p>
        </w:tc>
      </w:tr>
      <w:tr w:rsidR="005111BB" w:rsidRPr="0010340C" w14:paraId="269CEBAB" w14:textId="77777777" w:rsidTr="00656F47">
        <w:tc>
          <w:tcPr>
            <w:tcW w:w="1008" w:type="dxa"/>
            <w:shd w:val="clear" w:color="auto" w:fill="auto"/>
          </w:tcPr>
          <w:p w14:paraId="2157F5B4" w14:textId="09C5E6F6" w:rsidR="005111BB" w:rsidRPr="0010340C" w:rsidRDefault="005111BB" w:rsidP="00656F47">
            <w:pPr>
              <w:jc w:val="center"/>
              <w:rPr>
                <w:b/>
              </w:rPr>
            </w:pPr>
            <w:r w:rsidRPr="0010340C">
              <w:rPr>
                <w:b/>
              </w:rPr>
              <w:t>1</w:t>
            </w:r>
            <w:r w:rsidR="00E91B17">
              <w:rPr>
                <w:b/>
              </w:rPr>
              <w:t>2</w:t>
            </w:r>
            <w:r w:rsidRPr="0010340C">
              <w:rPr>
                <w:b/>
              </w:rPr>
              <w:t>*</w:t>
            </w:r>
          </w:p>
        </w:tc>
        <w:tc>
          <w:tcPr>
            <w:tcW w:w="2700" w:type="dxa"/>
            <w:shd w:val="clear" w:color="auto" w:fill="auto"/>
          </w:tcPr>
          <w:p w14:paraId="4679ABEB" w14:textId="3BB21421" w:rsidR="005111BB" w:rsidRPr="0010340C" w:rsidRDefault="005111BB" w:rsidP="00656F47">
            <w:pPr>
              <w:rPr>
                <w:rStyle w:val="SubtleEmphasis"/>
              </w:rPr>
            </w:pPr>
            <w:r w:rsidRPr="0010340C">
              <w:rPr>
                <w:rStyle w:val="SubtleEmphasis"/>
              </w:rPr>
              <w:t xml:space="preserve">topshim  </w:t>
            </w:r>
            <w:r w:rsidR="00E91B17">
              <w:rPr>
                <w:rStyle w:val="SubtleEmphasis"/>
              </w:rPr>
              <w:t>2h</w:t>
            </w:r>
            <w:r w:rsidRPr="0010340C">
              <w:rPr>
                <w:rStyle w:val="SubtleEmphasis"/>
              </w:rPr>
              <w:t>&lt;etr&gt;</w:t>
            </w:r>
          </w:p>
        </w:tc>
        <w:tc>
          <w:tcPr>
            <w:tcW w:w="5760" w:type="dxa"/>
            <w:shd w:val="clear" w:color="auto" w:fill="auto"/>
          </w:tcPr>
          <w:p w14:paraId="44C532AF" w14:textId="77777777" w:rsidR="005111BB" w:rsidRDefault="005111BB" w:rsidP="00656F47">
            <w:pPr>
              <w:ind w:right="-108"/>
              <w:rPr>
                <w:rStyle w:val="SubtleEmphasis"/>
              </w:rPr>
            </w:pPr>
            <w:r w:rsidRPr="0010340C">
              <w:rPr>
                <w:rStyle w:val="SubtleEmphasis"/>
              </w:rPr>
              <w:t xml:space="preserve">automatic shimming starts. </w:t>
            </w:r>
          </w:p>
          <w:p w14:paraId="5C363505" w14:textId="77777777" w:rsidR="005111BB" w:rsidRPr="0010340C" w:rsidRDefault="005111BB" w:rsidP="00656F47">
            <w:pPr>
              <w:ind w:right="-108"/>
              <w:rPr>
                <w:rStyle w:val="SubtleEmphasis"/>
              </w:rPr>
            </w:pPr>
            <w:r w:rsidRPr="0010340C">
              <w:rPr>
                <w:rStyle w:val="SubtleEmphasis"/>
              </w:rPr>
              <w:t xml:space="preserve">Wait until the “topshim </w:t>
            </w:r>
            <w:r>
              <w:rPr>
                <w:rStyle w:val="SubtleEmphasis"/>
              </w:rPr>
              <w:t>completed</w:t>
            </w:r>
            <w:r w:rsidRPr="0010340C">
              <w:rPr>
                <w:rStyle w:val="SubtleEmphasis"/>
              </w:rPr>
              <w:t>” message appears. NOT applicable for 100% deuterium solvent on NSC NMR.</w:t>
            </w:r>
          </w:p>
        </w:tc>
      </w:tr>
      <w:tr w:rsidR="002960A4" w:rsidRPr="0010340C" w14:paraId="0D267F1A" w14:textId="77777777" w:rsidTr="00656F47">
        <w:tc>
          <w:tcPr>
            <w:tcW w:w="1008" w:type="dxa"/>
            <w:shd w:val="clear" w:color="auto" w:fill="auto"/>
          </w:tcPr>
          <w:p w14:paraId="59AFDF5E" w14:textId="7449CBBB" w:rsidR="002960A4" w:rsidRPr="0010340C" w:rsidRDefault="002960A4" w:rsidP="002960A4">
            <w:pPr>
              <w:jc w:val="center"/>
              <w:rPr>
                <w:b/>
              </w:rPr>
            </w:pPr>
            <w:r>
              <w:rPr>
                <w:b/>
              </w:rPr>
              <w:t>13</w:t>
            </w:r>
          </w:p>
        </w:tc>
        <w:tc>
          <w:tcPr>
            <w:tcW w:w="2700" w:type="dxa"/>
            <w:shd w:val="clear" w:color="auto" w:fill="auto"/>
          </w:tcPr>
          <w:p w14:paraId="4B18F3F6" w14:textId="4F78125D" w:rsidR="002960A4" w:rsidRPr="0010340C" w:rsidRDefault="002960A4" w:rsidP="002960A4">
            <w:pPr>
              <w:rPr>
                <w:b/>
              </w:rPr>
            </w:pPr>
            <w:r>
              <w:t>Blank here.</w:t>
            </w:r>
          </w:p>
        </w:tc>
        <w:tc>
          <w:tcPr>
            <w:tcW w:w="5760" w:type="dxa"/>
            <w:shd w:val="clear" w:color="auto" w:fill="auto"/>
          </w:tcPr>
          <w:p w14:paraId="175403E7" w14:textId="3CB136F1" w:rsidR="002960A4" w:rsidRPr="00620015" w:rsidRDefault="002960A4" w:rsidP="002960A4">
            <w:r>
              <w:t>Blank here.</w:t>
            </w:r>
          </w:p>
        </w:tc>
      </w:tr>
      <w:tr w:rsidR="002960A4" w:rsidRPr="0010340C" w14:paraId="0BFB629F" w14:textId="77777777" w:rsidTr="00656F47">
        <w:tc>
          <w:tcPr>
            <w:tcW w:w="1008" w:type="dxa"/>
            <w:shd w:val="clear" w:color="auto" w:fill="auto"/>
          </w:tcPr>
          <w:p w14:paraId="6D09B358" w14:textId="77777777" w:rsidR="002960A4" w:rsidRPr="0010340C" w:rsidRDefault="002960A4" w:rsidP="002960A4">
            <w:pPr>
              <w:jc w:val="center"/>
              <w:rPr>
                <w:b/>
              </w:rPr>
            </w:pPr>
            <w:r w:rsidRPr="0010340C">
              <w:rPr>
                <w:b/>
              </w:rPr>
              <w:t>14</w:t>
            </w:r>
          </w:p>
        </w:tc>
        <w:tc>
          <w:tcPr>
            <w:tcW w:w="2700" w:type="dxa"/>
            <w:shd w:val="clear" w:color="auto" w:fill="auto"/>
          </w:tcPr>
          <w:p w14:paraId="283227F6" w14:textId="77777777" w:rsidR="002960A4" w:rsidRPr="0010340C" w:rsidRDefault="002960A4" w:rsidP="002960A4">
            <w:pPr>
              <w:rPr>
                <w:b/>
              </w:rPr>
            </w:pPr>
            <w:r w:rsidRPr="0010340C">
              <w:rPr>
                <w:b/>
              </w:rPr>
              <w:t xml:space="preserve">ased </w:t>
            </w:r>
            <w:r>
              <w:t>&lt;etr&gt;</w:t>
            </w:r>
          </w:p>
        </w:tc>
        <w:tc>
          <w:tcPr>
            <w:tcW w:w="5760" w:type="dxa"/>
            <w:shd w:val="clear" w:color="auto" w:fill="auto"/>
          </w:tcPr>
          <w:p w14:paraId="2733DEE9" w14:textId="77777777" w:rsidR="002960A4" w:rsidRPr="00620015" w:rsidRDefault="002960A4" w:rsidP="002960A4">
            <w:r w:rsidRPr="00620015">
              <w:t>Aqu</w:t>
            </w:r>
            <w:r>
              <w:t>Proc setup</w:t>
            </w:r>
            <w:r w:rsidRPr="00620015">
              <w:t xml:space="preserve"> mode. </w:t>
            </w:r>
            <w:r w:rsidRPr="0010340C">
              <w:rPr>
                <w:i/>
              </w:rPr>
              <w:t xml:space="preserve"> </w:t>
            </w:r>
          </w:p>
        </w:tc>
      </w:tr>
      <w:tr w:rsidR="002960A4" w:rsidRPr="0010340C" w14:paraId="05F5CC44" w14:textId="77777777" w:rsidTr="00656F47">
        <w:tc>
          <w:tcPr>
            <w:tcW w:w="1008" w:type="dxa"/>
            <w:shd w:val="clear" w:color="auto" w:fill="auto"/>
          </w:tcPr>
          <w:p w14:paraId="4603164C" w14:textId="77777777" w:rsidR="002960A4" w:rsidRPr="0010340C" w:rsidRDefault="002960A4" w:rsidP="002960A4">
            <w:pPr>
              <w:jc w:val="center"/>
              <w:rPr>
                <w:b/>
              </w:rPr>
            </w:pPr>
            <w:r w:rsidRPr="0010340C">
              <w:rPr>
                <w:b/>
              </w:rPr>
              <w:t>15</w:t>
            </w:r>
          </w:p>
        </w:tc>
        <w:tc>
          <w:tcPr>
            <w:tcW w:w="2700" w:type="dxa"/>
            <w:shd w:val="clear" w:color="auto" w:fill="auto"/>
          </w:tcPr>
          <w:p w14:paraId="7F7B45B6" w14:textId="77777777" w:rsidR="002960A4" w:rsidRPr="0010340C" w:rsidRDefault="002960A4" w:rsidP="002960A4">
            <w:pPr>
              <w:rPr>
                <w:b/>
              </w:rPr>
            </w:pPr>
            <w:r w:rsidRPr="0010340C">
              <w:rPr>
                <w:b/>
              </w:rPr>
              <w:t>getprosol</w:t>
            </w:r>
            <w:r>
              <w:t xml:space="preserve"> &lt;etr&gt;</w:t>
            </w:r>
          </w:p>
        </w:tc>
        <w:tc>
          <w:tcPr>
            <w:tcW w:w="5760" w:type="dxa"/>
            <w:shd w:val="clear" w:color="auto" w:fill="auto"/>
          </w:tcPr>
          <w:p w14:paraId="372E4ABB" w14:textId="77777777" w:rsidR="002960A4" w:rsidRPr="00620015" w:rsidRDefault="002960A4" w:rsidP="002960A4">
            <w:pPr>
              <w:ind w:right="-108"/>
            </w:pPr>
            <w:r>
              <w:rPr>
                <w:i/>
              </w:rPr>
              <w:t>R</w:t>
            </w:r>
            <w:r w:rsidRPr="0010340C">
              <w:rPr>
                <w:i/>
              </w:rPr>
              <w:t>ead corresponding probe parameters.</w:t>
            </w:r>
          </w:p>
        </w:tc>
      </w:tr>
      <w:tr w:rsidR="002960A4" w:rsidRPr="0010340C" w14:paraId="6EAE5835" w14:textId="77777777" w:rsidTr="00656F47">
        <w:tc>
          <w:tcPr>
            <w:tcW w:w="1008" w:type="dxa"/>
            <w:shd w:val="clear" w:color="auto" w:fill="auto"/>
          </w:tcPr>
          <w:p w14:paraId="41AA087F" w14:textId="77777777" w:rsidR="002960A4" w:rsidRPr="0010340C" w:rsidRDefault="002960A4" w:rsidP="002960A4">
            <w:pPr>
              <w:jc w:val="center"/>
              <w:rPr>
                <w:b/>
              </w:rPr>
            </w:pPr>
            <w:r w:rsidRPr="0010340C">
              <w:rPr>
                <w:b/>
              </w:rPr>
              <w:t>16</w:t>
            </w:r>
          </w:p>
        </w:tc>
        <w:tc>
          <w:tcPr>
            <w:tcW w:w="2700" w:type="dxa"/>
            <w:shd w:val="clear" w:color="auto" w:fill="auto"/>
          </w:tcPr>
          <w:p w14:paraId="3314C807" w14:textId="77777777" w:rsidR="002960A4" w:rsidRPr="0010340C" w:rsidRDefault="002960A4" w:rsidP="002960A4">
            <w:pPr>
              <w:rPr>
                <w:b/>
              </w:rPr>
            </w:pPr>
            <w:r w:rsidRPr="0010340C">
              <w:rPr>
                <w:b/>
              </w:rPr>
              <w:t>rga</w:t>
            </w:r>
            <w:r>
              <w:t xml:space="preserve"> &lt;etr&gt;</w:t>
            </w:r>
            <w:r>
              <w:tab/>
            </w:r>
            <w:r>
              <w:tab/>
            </w:r>
          </w:p>
        </w:tc>
        <w:tc>
          <w:tcPr>
            <w:tcW w:w="5760" w:type="dxa"/>
            <w:shd w:val="clear" w:color="auto" w:fill="auto"/>
          </w:tcPr>
          <w:p w14:paraId="3F4A90DB" w14:textId="77777777" w:rsidR="002960A4" w:rsidRPr="0010340C" w:rsidRDefault="002960A4" w:rsidP="002960A4">
            <w:pPr>
              <w:ind w:right="-720"/>
              <w:rPr>
                <w:i/>
              </w:rPr>
            </w:pPr>
            <w:r>
              <w:rPr>
                <w:i/>
              </w:rPr>
              <w:t>A</w:t>
            </w:r>
            <w:r w:rsidRPr="0010340C">
              <w:rPr>
                <w:i/>
              </w:rPr>
              <w:t xml:space="preserve">utomatic receiver gain optimization starts. </w:t>
            </w:r>
          </w:p>
          <w:p w14:paraId="2AA3F302" w14:textId="77777777" w:rsidR="002960A4" w:rsidRPr="00620015" w:rsidRDefault="002960A4" w:rsidP="002960A4">
            <w:pPr>
              <w:ind w:right="-720"/>
            </w:pPr>
            <w:r w:rsidRPr="00620015">
              <w:t>Wait for the “rga:finished” message to appear</w:t>
            </w:r>
          </w:p>
        </w:tc>
      </w:tr>
      <w:tr w:rsidR="002960A4" w:rsidRPr="0010340C" w14:paraId="2CBD76C2" w14:textId="77777777" w:rsidTr="00656F47">
        <w:tc>
          <w:tcPr>
            <w:tcW w:w="1008" w:type="dxa"/>
            <w:shd w:val="clear" w:color="auto" w:fill="auto"/>
          </w:tcPr>
          <w:p w14:paraId="317AEA35" w14:textId="77777777" w:rsidR="002960A4" w:rsidRPr="0010340C" w:rsidRDefault="002960A4" w:rsidP="002960A4">
            <w:pPr>
              <w:jc w:val="center"/>
              <w:rPr>
                <w:b/>
              </w:rPr>
            </w:pPr>
            <w:r w:rsidRPr="0010340C">
              <w:rPr>
                <w:b/>
              </w:rPr>
              <w:t>17</w:t>
            </w:r>
          </w:p>
        </w:tc>
        <w:tc>
          <w:tcPr>
            <w:tcW w:w="2700" w:type="dxa"/>
            <w:shd w:val="clear" w:color="auto" w:fill="auto"/>
          </w:tcPr>
          <w:p w14:paraId="5377BDF5" w14:textId="77777777" w:rsidR="002960A4" w:rsidRPr="0010340C" w:rsidRDefault="002960A4" w:rsidP="002960A4">
            <w:pPr>
              <w:rPr>
                <w:b/>
              </w:rPr>
            </w:pPr>
            <w:r w:rsidRPr="0010340C">
              <w:rPr>
                <w:b/>
              </w:rPr>
              <w:t xml:space="preserve">expt </w:t>
            </w:r>
            <w:r>
              <w:t>&lt;etr&gt;</w:t>
            </w:r>
          </w:p>
        </w:tc>
        <w:tc>
          <w:tcPr>
            <w:tcW w:w="5760" w:type="dxa"/>
            <w:shd w:val="clear" w:color="auto" w:fill="auto"/>
          </w:tcPr>
          <w:p w14:paraId="33BF3D84" w14:textId="77777777" w:rsidR="002960A4" w:rsidRDefault="002960A4" w:rsidP="002960A4">
            <w:pPr>
              <w:ind w:right="-108"/>
            </w:pPr>
            <w:r w:rsidRPr="00620015">
              <w:t>Calcu</w:t>
            </w:r>
            <w:r>
              <w:t>late the time to finish the exp;</w:t>
            </w:r>
          </w:p>
          <w:p w14:paraId="4AA7BECE" w14:textId="77777777" w:rsidR="002960A4" w:rsidRDefault="002960A4" w:rsidP="002960A4">
            <w:pPr>
              <w:ind w:right="-108"/>
            </w:pPr>
            <w:r w:rsidRPr="00620015">
              <w:t>Adjust “ns” if the acquisition time is too long</w:t>
            </w:r>
            <w:r>
              <w:t>;</w:t>
            </w:r>
          </w:p>
          <w:p w14:paraId="204FB41D" w14:textId="77777777" w:rsidR="002960A4" w:rsidRPr="00620015" w:rsidRDefault="002960A4" w:rsidP="002960A4">
            <w:pPr>
              <w:ind w:right="-108"/>
            </w:pPr>
            <w:r>
              <w:t>DO NOT take other user’s time.</w:t>
            </w:r>
          </w:p>
        </w:tc>
      </w:tr>
      <w:tr w:rsidR="002960A4" w:rsidRPr="0010340C" w14:paraId="2E42CB41" w14:textId="77777777" w:rsidTr="00656F47">
        <w:tc>
          <w:tcPr>
            <w:tcW w:w="1008" w:type="dxa"/>
            <w:shd w:val="clear" w:color="auto" w:fill="auto"/>
          </w:tcPr>
          <w:p w14:paraId="7B81A91E" w14:textId="77777777" w:rsidR="002960A4" w:rsidRPr="0010340C" w:rsidRDefault="002960A4" w:rsidP="002960A4">
            <w:pPr>
              <w:jc w:val="center"/>
              <w:rPr>
                <w:b/>
              </w:rPr>
            </w:pPr>
            <w:r w:rsidRPr="0010340C">
              <w:rPr>
                <w:b/>
              </w:rPr>
              <w:t>18</w:t>
            </w:r>
          </w:p>
        </w:tc>
        <w:tc>
          <w:tcPr>
            <w:tcW w:w="2700" w:type="dxa"/>
            <w:shd w:val="clear" w:color="auto" w:fill="auto"/>
          </w:tcPr>
          <w:p w14:paraId="3841F064" w14:textId="77777777" w:rsidR="002960A4" w:rsidRPr="0010340C" w:rsidRDefault="002960A4" w:rsidP="002960A4">
            <w:pPr>
              <w:rPr>
                <w:b/>
              </w:rPr>
            </w:pPr>
            <w:r w:rsidRPr="0010340C">
              <w:rPr>
                <w:b/>
              </w:rPr>
              <w:t>zg</w:t>
            </w:r>
            <w:r>
              <w:t xml:space="preserve"> &lt;etr&gt;</w:t>
            </w:r>
            <w:r>
              <w:tab/>
            </w:r>
            <w:r>
              <w:tab/>
            </w:r>
          </w:p>
        </w:tc>
        <w:tc>
          <w:tcPr>
            <w:tcW w:w="5760" w:type="dxa"/>
            <w:shd w:val="clear" w:color="auto" w:fill="auto"/>
          </w:tcPr>
          <w:p w14:paraId="54AFF5FB" w14:textId="77777777" w:rsidR="002960A4" w:rsidRDefault="002960A4" w:rsidP="002960A4">
            <w:pPr>
              <w:ind w:right="-720"/>
              <w:rPr>
                <w:i/>
                <w:lang w:val="fr-FR"/>
              </w:rPr>
            </w:pPr>
            <w:r>
              <w:rPr>
                <w:i/>
                <w:lang w:val="fr-FR"/>
              </w:rPr>
              <w:t>Start data acquisition</w:t>
            </w:r>
            <w:r w:rsidRPr="0010340C">
              <w:rPr>
                <w:i/>
                <w:lang w:val="fr-FR"/>
              </w:rPr>
              <w:t>.</w:t>
            </w:r>
          </w:p>
          <w:p w14:paraId="7D7C8D39" w14:textId="77777777" w:rsidR="002960A4" w:rsidRPr="00620015" w:rsidRDefault="002960A4" w:rsidP="002960A4">
            <w:pPr>
              <w:ind w:right="-720"/>
            </w:pPr>
            <w:r w:rsidRPr="00620015">
              <w:t xml:space="preserve">Wait till the “acquisition:finished” message to appear. </w:t>
            </w:r>
          </w:p>
        </w:tc>
      </w:tr>
      <w:tr w:rsidR="002960A4" w:rsidRPr="0010340C" w14:paraId="538DD779" w14:textId="77777777" w:rsidTr="00656F47">
        <w:tc>
          <w:tcPr>
            <w:tcW w:w="1008" w:type="dxa"/>
            <w:shd w:val="clear" w:color="auto" w:fill="auto"/>
          </w:tcPr>
          <w:p w14:paraId="537C46B7" w14:textId="77777777" w:rsidR="002960A4" w:rsidRPr="0010340C" w:rsidRDefault="002960A4" w:rsidP="002960A4">
            <w:pPr>
              <w:jc w:val="center"/>
              <w:rPr>
                <w:b/>
              </w:rPr>
            </w:pPr>
            <w:r w:rsidRPr="0010340C">
              <w:rPr>
                <w:b/>
              </w:rPr>
              <w:t>19</w:t>
            </w:r>
          </w:p>
        </w:tc>
        <w:tc>
          <w:tcPr>
            <w:tcW w:w="2700" w:type="dxa"/>
            <w:shd w:val="clear" w:color="auto" w:fill="auto"/>
          </w:tcPr>
          <w:p w14:paraId="61B1CCF8" w14:textId="77777777" w:rsidR="002960A4" w:rsidRDefault="002960A4" w:rsidP="002960A4">
            <w:r w:rsidRPr="0010340C">
              <w:rPr>
                <w:b/>
              </w:rPr>
              <w:t xml:space="preserve">efp </w:t>
            </w:r>
            <w:r>
              <w:t>&lt;etr&gt;</w:t>
            </w:r>
          </w:p>
          <w:p w14:paraId="7D1134E9" w14:textId="77777777" w:rsidR="002960A4" w:rsidRDefault="002960A4" w:rsidP="002960A4">
            <w:r w:rsidRPr="0010340C">
              <w:rPr>
                <w:b/>
              </w:rPr>
              <w:t>apk</w:t>
            </w:r>
            <w:r>
              <w:t xml:space="preserve"> &lt;etr&gt;</w:t>
            </w:r>
          </w:p>
          <w:p w14:paraId="1827C14A" w14:textId="77777777" w:rsidR="002960A4" w:rsidRDefault="002960A4" w:rsidP="002960A4">
            <w:r w:rsidRPr="0010340C">
              <w:rPr>
                <w:b/>
              </w:rPr>
              <w:t>abs</w:t>
            </w:r>
            <w:r>
              <w:t xml:space="preserve"> &lt;etr&gt;</w:t>
            </w:r>
          </w:p>
          <w:p w14:paraId="482EE410" w14:textId="77777777" w:rsidR="002960A4" w:rsidRPr="0010340C" w:rsidRDefault="002960A4" w:rsidP="002960A4">
            <w:pPr>
              <w:rPr>
                <w:b/>
              </w:rPr>
            </w:pPr>
            <w:r>
              <w:lastRenderedPageBreak/>
              <w:t>command ‘</w:t>
            </w:r>
            <w:r w:rsidRPr="00A701A5">
              <w:rPr>
                <w:b/>
              </w:rPr>
              <w:t>duzproc</w:t>
            </w:r>
            <w:r>
              <w:t>’ does all three together.</w:t>
            </w:r>
          </w:p>
        </w:tc>
        <w:tc>
          <w:tcPr>
            <w:tcW w:w="5760" w:type="dxa"/>
            <w:shd w:val="clear" w:color="auto" w:fill="auto"/>
          </w:tcPr>
          <w:p w14:paraId="49F00BC9" w14:textId="77777777" w:rsidR="002960A4" w:rsidRPr="00620015" w:rsidRDefault="002960A4" w:rsidP="002960A4">
            <w:r w:rsidRPr="00620015">
              <w:lastRenderedPageBreak/>
              <w:t>Simple data processing</w:t>
            </w:r>
          </w:p>
          <w:p w14:paraId="1900ECEC" w14:textId="77777777" w:rsidR="002960A4" w:rsidRPr="00620015" w:rsidRDefault="002960A4" w:rsidP="002960A4">
            <w:pPr>
              <w:ind w:right="-720"/>
            </w:pPr>
          </w:p>
        </w:tc>
      </w:tr>
      <w:tr w:rsidR="002960A4" w:rsidRPr="0010340C" w14:paraId="49C4662E" w14:textId="77777777" w:rsidTr="00656F47">
        <w:tc>
          <w:tcPr>
            <w:tcW w:w="1008" w:type="dxa"/>
            <w:shd w:val="clear" w:color="auto" w:fill="auto"/>
          </w:tcPr>
          <w:p w14:paraId="03903093" w14:textId="77777777" w:rsidR="002960A4" w:rsidRPr="0010340C" w:rsidRDefault="002960A4" w:rsidP="002960A4">
            <w:pPr>
              <w:jc w:val="center"/>
              <w:rPr>
                <w:b/>
              </w:rPr>
            </w:pPr>
            <w:r w:rsidRPr="0010340C">
              <w:rPr>
                <w:b/>
              </w:rPr>
              <w:t>20</w:t>
            </w:r>
          </w:p>
        </w:tc>
        <w:tc>
          <w:tcPr>
            <w:tcW w:w="2700" w:type="dxa"/>
            <w:shd w:val="clear" w:color="auto" w:fill="auto"/>
          </w:tcPr>
          <w:p w14:paraId="4DA4354B" w14:textId="77777777" w:rsidR="002960A4" w:rsidRPr="0010340C" w:rsidRDefault="002960A4" w:rsidP="002960A4">
            <w:pPr>
              <w:rPr>
                <w:b/>
              </w:rPr>
            </w:pPr>
            <w:r w:rsidRPr="0010340C">
              <w:rPr>
                <w:b/>
              </w:rPr>
              <w:t>bsmsdisp &lt;</w:t>
            </w:r>
            <w:r w:rsidRPr="00D81A25">
              <w:t>etr</w:t>
            </w:r>
            <w:r w:rsidRPr="0010340C">
              <w:rPr>
                <w:b/>
              </w:rPr>
              <w:t>&gt;</w:t>
            </w:r>
          </w:p>
        </w:tc>
        <w:tc>
          <w:tcPr>
            <w:tcW w:w="5760" w:type="dxa"/>
            <w:shd w:val="clear" w:color="auto" w:fill="auto"/>
          </w:tcPr>
          <w:p w14:paraId="2F9D596F" w14:textId="77777777" w:rsidR="002960A4" w:rsidRPr="00620015" w:rsidRDefault="002960A4" w:rsidP="002960A4">
            <w:r w:rsidRPr="00620015">
              <w:t>Unlock (make sure lockon-off button is not highlighted</w:t>
            </w:r>
          </w:p>
          <w:p w14:paraId="427CD356" w14:textId="77777777" w:rsidR="002960A4" w:rsidRPr="00620015" w:rsidRDefault="002960A4" w:rsidP="002960A4">
            <w:pPr>
              <w:ind w:right="-108"/>
            </w:pPr>
            <w:r w:rsidRPr="00620015">
              <w:t xml:space="preserve">Unspin (make sure spin button is not highlighted. </w:t>
            </w:r>
          </w:p>
        </w:tc>
      </w:tr>
      <w:tr w:rsidR="002960A4" w:rsidRPr="0010340C" w14:paraId="1CA6052D" w14:textId="77777777" w:rsidTr="00656F47">
        <w:tc>
          <w:tcPr>
            <w:tcW w:w="1008" w:type="dxa"/>
            <w:shd w:val="clear" w:color="auto" w:fill="auto"/>
          </w:tcPr>
          <w:p w14:paraId="0E90C7AF" w14:textId="77777777" w:rsidR="002960A4" w:rsidRPr="0010340C" w:rsidRDefault="002960A4" w:rsidP="002960A4">
            <w:pPr>
              <w:jc w:val="center"/>
              <w:rPr>
                <w:b/>
              </w:rPr>
            </w:pPr>
            <w:r w:rsidRPr="0010340C">
              <w:rPr>
                <w:b/>
              </w:rPr>
              <w:t>21</w:t>
            </w:r>
          </w:p>
        </w:tc>
        <w:tc>
          <w:tcPr>
            <w:tcW w:w="2700" w:type="dxa"/>
            <w:shd w:val="clear" w:color="auto" w:fill="auto"/>
          </w:tcPr>
          <w:p w14:paraId="6349374D" w14:textId="77777777" w:rsidR="002960A4" w:rsidRPr="0010340C" w:rsidRDefault="002960A4" w:rsidP="002960A4">
            <w:pPr>
              <w:rPr>
                <w:b/>
              </w:rPr>
            </w:pPr>
            <w:r w:rsidRPr="0010340C">
              <w:rPr>
                <w:b/>
              </w:rPr>
              <w:t>ej &lt;</w:t>
            </w:r>
            <w:r w:rsidRPr="00D81A25">
              <w:t>etr</w:t>
            </w:r>
            <w:r w:rsidRPr="0010340C">
              <w:rPr>
                <w:b/>
              </w:rPr>
              <w:t>&gt;</w:t>
            </w:r>
          </w:p>
        </w:tc>
        <w:tc>
          <w:tcPr>
            <w:tcW w:w="5760" w:type="dxa"/>
            <w:shd w:val="clear" w:color="auto" w:fill="auto"/>
          </w:tcPr>
          <w:p w14:paraId="0ADB5DB1" w14:textId="77777777" w:rsidR="002960A4" w:rsidRPr="00620015" w:rsidRDefault="002960A4" w:rsidP="002960A4">
            <w:pPr>
              <w:ind w:right="-108"/>
            </w:pPr>
            <w:r w:rsidRPr="00620015">
              <w:t xml:space="preserve">Remove the spinner turbine from the top of the magnet. Take out your sample from the spinner turbine. Position the D2O sample in the turbine using the sample depth gauge. Making sure the eject air is still ON (should hear the eject air), place the turbine with the  D2O sample on top of the magnet at the magnet upper barrel opening. </w:t>
            </w:r>
          </w:p>
        </w:tc>
      </w:tr>
      <w:tr w:rsidR="002960A4" w:rsidRPr="0010340C" w14:paraId="07758FF9" w14:textId="77777777" w:rsidTr="00656F47">
        <w:tc>
          <w:tcPr>
            <w:tcW w:w="1008" w:type="dxa"/>
            <w:shd w:val="clear" w:color="auto" w:fill="auto"/>
          </w:tcPr>
          <w:p w14:paraId="282159D4" w14:textId="77777777" w:rsidR="002960A4" w:rsidRPr="0010340C" w:rsidRDefault="002960A4" w:rsidP="002960A4">
            <w:pPr>
              <w:jc w:val="center"/>
              <w:rPr>
                <w:b/>
              </w:rPr>
            </w:pPr>
            <w:r w:rsidRPr="0010340C">
              <w:rPr>
                <w:b/>
              </w:rPr>
              <w:t>22</w:t>
            </w:r>
          </w:p>
        </w:tc>
        <w:tc>
          <w:tcPr>
            <w:tcW w:w="2700" w:type="dxa"/>
            <w:shd w:val="clear" w:color="auto" w:fill="auto"/>
          </w:tcPr>
          <w:p w14:paraId="227FE2A0" w14:textId="77777777" w:rsidR="002960A4" w:rsidRPr="0010340C" w:rsidRDefault="002960A4" w:rsidP="002960A4">
            <w:pPr>
              <w:rPr>
                <w:b/>
              </w:rPr>
            </w:pPr>
            <w:r w:rsidRPr="0010340C">
              <w:rPr>
                <w:b/>
              </w:rPr>
              <w:t>ij  &lt;</w:t>
            </w:r>
            <w:r w:rsidRPr="00D81A25">
              <w:t>etr</w:t>
            </w:r>
            <w:r w:rsidRPr="0010340C">
              <w:rPr>
                <w:b/>
              </w:rPr>
              <w:t>&gt;</w:t>
            </w:r>
          </w:p>
        </w:tc>
        <w:tc>
          <w:tcPr>
            <w:tcW w:w="5760" w:type="dxa"/>
            <w:shd w:val="clear" w:color="auto" w:fill="auto"/>
          </w:tcPr>
          <w:p w14:paraId="1F25C7FA" w14:textId="77777777" w:rsidR="002960A4" w:rsidRPr="00620015" w:rsidRDefault="002960A4" w:rsidP="002960A4">
            <w:pPr>
              <w:ind w:right="-108"/>
            </w:pPr>
            <w:r w:rsidRPr="0010340C">
              <w:rPr>
                <w:i/>
              </w:rPr>
              <w:t xml:space="preserve">the D2O sample is inserted into the magnet. </w:t>
            </w:r>
            <w:r w:rsidRPr="00620015">
              <w:t>Wait until the sample status on the bsmsdisp window button showing down. Then close BSMSDISP display window.</w:t>
            </w:r>
          </w:p>
        </w:tc>
      </w:tr>
      <w:tr w:rsidR="002960A4" w:rsidRPr="0010340C" w14:paraId="2096251C" w14:textId="77777777" w:rsidTr="00656F47">
        <w:tc>
          <w:tcPr>
            <w:tcW w:w="1008" w:type="dxa"/>
            <w:shd w:val="clear" w:color="auto" w:fill="auto"/>
          </w:tcPr>
          <w:p w14:paraId="4421083E" w14:textId="77777777" w:rsidR="002960A4" w:rsidRPr="0010340C" w:rsidRDefault="002960A4" w:rsidP="002960A4">
            <w:pPr>
              <w:jc w:val="center"/>
              <w:rPr>
                <w:b/>
              </w:rPr>
            </w:pPr>
            <w:r w:rsidRPr="0010340C">
              <w:rPr>
                <w:b/>
              </w:rPr>
              <w:t>23</w:t>
            </w:r>
          </w:p>
        </w:tc>
        <w:tc>
          <w:tcPr>
            <w:tcW w:w="2700" w:type="dxa"/>
            <w:shd w:val="clear" w:color="auto" w:fill="auto"/>
          </w:tcPr>
          <w:p w14:paraId="4246029F" w14:textId="77777777" w:rsidR="002960A4" w:rsidRPr="0010340C" w:rsidRDefault="002960A4" w:rsidP="002960A4">
            <w:pPr>
              <w:rPr>
                <w:b/>
              </w:rPr>
            </w:pPr>
            <w:r w:rsidRPr="0010340C">
              <w:rPr>
                <w:b/>
              </w:rPr>
              <w:t>lock d2o</w:t>
            </w:r>
            <w:r>
              <w:t xml:space="preserve"> &lt;etr&gt;</w:t>
            </w:r>
            <w:r>
              <w:tab/>
            </w:r>
            <w:r>
              <w:tab/>
            </w:r>
          </w:p>
        </w:tc>
        <w:tc>
          <w:tcPr>
            <w:tcW w:w="5760" w:type="dxa"/>
            <w:shd w:val="clear" w:color="auto" w:fill="auto"/>
          </w:tcPr>
          <w:p w14:paraId="12DF6E46" w14:textId="77777777" w:rsidR="002960A4" w:rsidRPr="00620015" w:rsidRDefault="002960A4" w:rsidP="002960A4">
            <w:r w:rsidRPr="00620015">
              <w:t>Locks d2o sample. Wait until “lockn:finished” message appears</w:t>
            </w:r>
          </w:p>
        </w:tc>
      </w:tr>
      <w:tr w:rsidR="002960A4" w:rsidRPr="0010340C" w14:paraId="167D3940" w14:textId="77777777" w:rsidTr="00656F47">
        <w:tc>
          <w:tcPr>
            <w:tcW w:w="1008" w:type="dxa"/>
            <w:shd w:val="clear" w:color="auto" w:fill="auto"/>
          </w:tcPr>
          <w:p w14:paraId="3B1A670F" w14:textId="77777777" w:rsidR="002960A4" w:rsidRPr="0010340C" w:rsidRDefault="002960A4" w:rsidP="002960A4">
            <w:pPr>
              <w:jc w:val="center"/>
              <w:rPr>
                <w:b/>
              </w:rPr>
            </w:pPr>
            <w:r w:rsidRPr="0010340C">
              <w:rPr>
                <w:b/>
              </w:rPr>
              <w:t>24</w:t>
            </w:r>
          </w:p>
        </w:tc>
        <w:tc>
          <w:tcPr>
            <w:tcW w:w="2700" w:type="dxa"/>
            <w:shd w:val="clear" w:color="auto" w:fill="auto"/>
          </w:tcPr>
          <w:p w14:paraId="7EF073A7" w14:textId="77777777" w:rsidR="002960A4" w:rsidRPr="0010340C" w:rsidRDefault="002960A4" w:rsidP="002960A4">
            <w:pPr>
              <w:rPr>
                <w:b/>
              </w:rPr>
            </w:pPr>
            <w:r w:rsidRPr="0010340C">
              <w:rPr>
                <w:b/>
              </w:rPr>
              <w:t>Transfer your data</w:t>
            </w:r>
          </w:p>
        </w:tc>
        <w:tc>
          <w:tcPr>
            <w:tcW w:w="5760" w:type="dxa"/>
            <w:shd w:val="clear" w:color="auto" w:fill="auto"/>
          </w:tcPr>
          <w:p w14:paraId="6991B943" w14:textId="77777777" w:rsidR="002960A4" w:rsidRPr="00620015" w:rsidRDefault="002960A4" w:rsidP="002960A4">
            <w:pPr>
              <w:ind w:right="-108"/>
            </w:pPr>
            <w:r>
              <w:t>Please process this within 2 weeks’ time window as old data may be deleted without notice.</w:t>
            </w:r>
          </w:p>
        </w:tc>
      </w:tr>
      <w:tr w:rsidR="002960A4" w:rsidRPr="0010340C" w14:paraId="28EEB714" w14:textId="77777777" w:rsidTr="00656F47">
        <w:tc>
          <w:tcPr>
            <w:tcW w:w="1008" w:type="dxa"/>
            <w:shd w:val="clear" w:color="auto" w:fill="auto"/>
          </w:tcPr>
          <w:p w14:paraId="5D0A1408" w14:textId="77777777" w:rsidR="002960A4" w:rsidRPr="0010340C" w:rsidRDefault="002960A4" w:rsidP="002960A4">
            <w:pPr>
              <w:jc w:val="center"/>
              <w:rPr>
                <w:b/>
              </w:rPr>
            </w:pPr>
            <w:r w:rsidRPr="0010340C">
              <w:rPr>
                <w:b/>
              </w:rPr>
              <w:t>25</w:t>
            </w:r>
          </w:p>
        </w:tc>
        <w:tc>
          <w:tcPr>
            <w:tcW w:w="2700" w:type="dxa"/>
            <w:shd w:val="clear" w:color="auto" w:fill="auto"/>
          </w:tcPr>
          <w:p w14:paraId="66AF5131" w14:textId="77777777" w:rsidR="002960A4" w:rsidRDefault="002960A4" w:rsidP="002960A4">
            <w:r w:rsidRPr="0010340C">
              <w:rPr>
                <w:b/>
              </w:rPr>
              <w:t xml:space="preserve">exit </w:t>
            </w:r>
            <w:r>
              <w:t>&lt;etr&gt;</w:t>
            </w:r>
            <w:r w:rsidRPr="00620015">
              <w:t xml:space="preserve"> </w:t>
            </w:r>
          </w:p>
          <w:p w14:paraId="6ECAC048" w14:textId="77777777" w:rsidR="002960A4" w:rsidRDefault="002960A4" w:rsidP="002960A4"/>
          <w:p w14:paraId="733F712E" w14:textId="77777777" w:rsidR="002960A4" w:rsidRDefault="002960A4" w:rsidP="002960A4"/>
          <w:p w14:paraId="63E5E89F" w14:textId="77777777" w:rsidR="002960A4" w:rsidRPr="0010340C" w:rsidRDefault="002960A4" w:rsidP="002960A4">
            <w:pPr>
              <w:rPr>
                <w:b/>
              </w:rPr>
            </w:pPr>
          </w:p>
        </w:tc>
        <w:tc>
          <w:tcPr>
            <w:tcW w:w="5760" w:type="dxa"/>
            <w:shd w:val="clear" w:color="auto" w:fill="auto"/>
          </w:tcPr>
          <w:p w14:paraId="0619FFCB" w14:textId="77777777" w:rsidR="002960A4" w:rsidRDefault="002960A4" w:rsidP="002960A4">
            <w:r w:rsidRPr="00620015">
              <w:t xml:space="preserve">Topspin terminates all active programs. Please </w:t>
            </w:r>
            <w:r w:rsidRPr="00BD5202">
              <w:rPr>
                <w:b/>
              </w:rPr>
              <w:t>D</w:t>
            </w:r>
            <w:r>
              <w:rPr>
                <w:b/>
              </w:rPr>
              <w:t>O NOT</w:t>
            </w:r>
            <w:r w:rsidRPr="00620015">
              <w:t xml:space="preserve"> just click the crossbar as it does not </w:t>
            </w:r>
            <w:r>
              <w:t xml:space="preserve">always </w:t>
            </w:r>
            <w:r w:rsidRPr="00620015">
              <w:t>terminate all active commands.</w:t>
            </w:r>
          </w:p>
          <w:p w14:paraId="2E76D508" w14:textId="77777777" w:rsidR="002960A4" w:rsidRDefault="002960A4" w:rsidP="002960A4"/>
          <w:p w14:paraId="1FD755EC" w14:textId="77777777" w:rsidR="002960A4" w:rsidRDefault="002960A4" w:rsidP="002960A4">
            <w:r w:rsidRPr="00620015">
              <w:t xml:space="preserve">Log out PC. </w:t>
            </w:r>
          </w:p>
          <w:p w14:paraId="2307F330" w14:textId="77777777" w:rsidR="002960A4" w:rsidRDefault="002960A4" w:rsidP="002960A4">
            <w:r w:rsidRPr="00620015">
              <w:t xml:space="preserve">Fill out the log book </w:t>
            </w:r>
          </w:p>
          <w:p w14:paraId="0309319D" w14:textId="77777777" w:rsidR="002960A4" w:rsidRDefault="002960A4" w:rsidP="002960A4">
            <w:r w:rsidRPr="00620015">
              <w:t>Record all error messages from the PC screen to logbook</w:t>
            </w:r>
            <w:r>
              <w:t xml:space="preserve"> if </w:t>
            </w:r>
            <w:r w:rsidRPr="00620015">
              <w:t>instruments are malfunctioning</w:t>
            </w:r>
            <w:r>
              <w:t xml:space="preserve">. </w:t>
            </w:r>
          </w:p>
          <w:p w14:paraId="12C0F7DB" w14:textId="77777777" w:rsidR="002960A4" w:rsidRDefault="002960A4" w:rsidP="002960A4"/>
          <w:p w14:paraId="342FCD96" w14:textId="7E2C95DF" w:rsidR="002960A4" w:rsidRPr="0010340C" w:rsidRDefault="002960A4" w:rsidP="002960A4">
            <w:pPr>
              <w:rPr>
                <w:b/>
              </w:rPr>
            </w:pPr>
            <w:r w:rsidRPr="00620015">
              <w:t>Dr.Zhenming Du</w:t>
            </w:r>
          </w:p>
        </w:tc>
      </w:tr>
    </w:tbl>
    <w:p w14:paraId="68F24DF5" w14:textId="77777777" w:rsidR="005111BB" w:rsidRDefault="005111BB" w:rsidP="005111BB">
      <w:pPr>
        <w:rPr>
          <w:b/>
        </w:rPr>
      </w:pPr>
    </w:p>
    <w:p w14:paraId="18C79A0B" w14:textId="75957DA2" w:rsidR="005111BB" w:rsidRDefault="005111BB" w:rsidP="00E91B17">
      <w:pPr>
        <w:ind w:right="-720"/>
      </w:pPr>
      <w:r>
        <w:rPr>
          <w:i/>
        </w:rPr>
        <w:t xml:space="preserve">    </w:t>
      </w:r>
    </w:p>
    <w:sectPr w:rsidR="00511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1BB"/>
    <w:rsid w:val="00057888"/>
    <w:rsid w:val="00240C3D"/>
    <w:rsid w:val="002960A4"/>
    <w:rsid w:val="005111BB"/>
    <w:rsid w:val="00693BB0"/>
    <w:rsid w:val="00757BA2"/>
    <w:rsid w:val="00760E0C"/>
    <w:rsid w:val="00777A75"/>
    <w:rsid w:val="00792B26"/>
    <w:rsid w:val="00C644B8"/>
    <w:rsid w:val="00E91B17"/>
    <w:rsid w:val="00F01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EEE1"/>
  <w15:docId w15:val="{C5F628F3-045C-45A1-B1B6-C290CDCD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57B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111BB"/>
    <w:pPr>
      <w:spacing w:after="285" w:line="240" w:lineRule="auto"/>
      <w:outlineLvl w:val="2"/>
    </w:pPr>
    <w:rPr>
      <w:rFonts w:ascii="Times New Roman" w:eastAsia="Times New Roman" w:hAnsi="Times New Roman" w:cs="Times New Roman"/>
      <w:b/>
      <w:bCs/>
      <w:color w:val="0084CA"/>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11BB"/>
    <w:rPr>
      <w:rFonts w:ascii="Times New Roman" w:eastAsia="Times New Roman" w:hAnsi="Times New Roman" w:cs="Times New Roman"/>
      <w:b/>
      <w:bCs/>
      <w:color w:val="0084CA"/>
      <w:sz w:val="27"/>
      <w:szCs w:val="27"/>
    </w:rPr>
  </w:style>
  <w:style w:type="character" w:styleId="SubtleEmphasis">
    <w:name w:val="Subtle Emphasis"/>
    <w:uiPriority w:val="19"/>
    <w:qFormat/>
    <w:rsid w:val="005111BB"/>
    <w:rPr>
      <w:i/>
      <w:iCs/>
      <w:color w:val="808080"/>
    </w:rPr>
  </w:style>
  <w:style w:type="character" w:styleId="Hyperlink">
    <w:name w:val="Hyperlink"/>
    <w:rsid w:val="005111BB"/>
    <w:rPr>
      <w:color w:val="0000FF"/>
      <w:u w:val="single"/>
    </w:rPr>
  </w:style>
  <w:style w:type="paragraph" w:styleId="BalloonText">
    <w:name w:val="Balloon Text"/>
    <w:basedOn w:val="Normal"/>
    <w:link w:val="BalloonTextChar"/>
    <w:uiPriority w:val="99"/>
    <w:semiHidden/>
    <w:unhideWhenUsed/>
    <w:rsid w:val="00511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1BB"/>
    <w:rPr>
      <w:rFonts w:ascii="Tahoma" w:hAnsi="Tahoma" w:cs="Tahoma"/>
      <w:sz w:val="16"/>
      <w:szCs w:val="16"/>
    </w:rPr>
  </w:style>
  <w:style w:type="character" w:customStyle="1" w:styleId="Heading2Char">
    <w:name w:val="Heading 2 Char"/>
    <w:basedOn w:val="DefaultParagraphFont"/>
    <w:link w:val="Heading2"/>
    <w:uiPriority w:val="9"/>
    <w:semiHidden/>
    <w:rsid w:val="00757BA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57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757BA2"/>
  </w:style>
  <w:style w:type="character" w:customStyle="1" w:styleId="mw-editsection">
    <w:name w:val="mw-editsection"/>
    <w:basedOn w:val="DefaultParagraphFont"/>
    <w:rsid w:val="00757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7434">
      <w:bodyDiv w:val="1"/>
      <w:marLeft w:val="0"/>
      <w:marRight w:val="0"/>
      <w:marTop w:val="0"/>
      <w:marBottom w:val="0"/>
      <w:divBdr>
        <w:top w:val="none" w:sz="0" w:space="0" w:color="auto"/>
        <w:left w:val="none" w:sz="0" w:space="0" w:color="auto"/>
        <w:bottom w:val="none" w:sz="0" w:space="0" w:color="auto"/>
        <w:right w:val="none" w:sz="0" w:space="0" w:color="auto"/>
      </w:divBdr>
      <w:divsChild>
        <w:div w:id="261572263">
          <w:marLeft w:val="0"/>
          <w:marRight w:val="0"/>
          <w:marTop w:val="0"/>
          <w:marBottom w:val="0"/>
          <w:divBdr>
            <w:top w:val="none" w:sz="0" w:space="0" w:color="auto"/>
            <w:left w:val="none" w:sz="0" w:space="0" w:color="auto"/>
            <w:bottom w:val="none" w:sz="0" w:space="0" w:color="auto"/>
            <w:right w:val="none" w:sz="0" w:space="0" w:color="auto"/>
          </w:divBdr>
          <w:divsChild>
            <w:div w:id="890724659">
              <w:marLeft w:val="0"/>
              <w:marRight w:val="0"/>
              <w:marTop w:val="0"/>
              <w:marBottom w:val="0"/>
              <w:divBdr>
                <w:top w:val="none" w:sz="0" w:space="0" w:color="auto"/>
                <w:left w:val="none" w:sz="0" w:space="0" w:color="auto"/>
                <w:bottom w:val="none" w:sz="0" w:space="0" w:color="auto"/>
                <w:right w:val="none" w:sz="0" w:space="0" w:color="auto"/>
              </w:divBdr>
              <w:divsChild>
                <w:div w:id="2245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01654">
      <w:bodyDiv w:val="1"/>
      <w:marLeft w:val="0"/>
      <w:marRight w:val="0"/>
      <w:marTop w:val="0"/>
      <w:marBottom w:val="0"/>
      <w:divBdr>
        <w:top w:val="none" w:sz="0" w:space="0" w:color="auto"/>
        <w:left w:val="none" w:sz="0" w:space="0" w:color="auto"/>
        <w:bottom w:val="none" w:sz="0" w:space="0" w:color="auto"/>
        <w:right w:val="none" w:sz="0" w:space="0" w:color="auto"/>
      </w:divBdr>
      <w:divsChild>
        <w:div w:id="1563756325">
          <w:marLeft w:val="0"/>
          <w:marRight w:val="0"/>
          <w:marTop w:val="0"/>
          <w:marBottom w:val="0"/>
          <w:divBdr>
            <w:top w:val="none" w:sz="0" w:space="0" w:color="auto"/>
            <w:left w:val="none" w:sz="0" w:space="0" w:color="auto"/>
            <w:bottom w:val="none" w:sz="0" w:space="0" w:color="auto"/>
            <w:right w:val="none" w:sz="0" w:space="0" w:color="auto"/>
          </w:divBdr>
          <w:divsChild>
            <w:div w:id="2132429778">
              <w:marLeft w:val="0"/>
              <w:marRight w:val="0"/>
              <w:marTop w:val="0"/>
              <w:marBottom w:val="0"/>
              <w:divBdr>
                <w:top w:val="none" w:sz="0" w:space="0" w:color="auto"/>
                <w:left w:val="none" w:sz="0" w:space="0" w:color="auto"/>
                <w:bottom w:val="none" w:sz="0" w:space="0" w:color="auto"/>
                <w:right w:val="none" w:sz="0" w:space="0" w:color="auto"/>
              </w:divBdr>
              <w:divsChild>
                <w:div w:id="8217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53814">
      <w:bodyDiv w:val="1"/>
      <w:marLeft w:val="0"/>
      <w:marRight w:val="0"/>
      <w:marTop w:val="0"/>
      <w:marBottom w:val="0"/>
      <w:divBdr>
        <w:top w:val="none" w:sz="0" w:space="0" w:color="auto"/>
        <w:left w:val="none" w:sz="0" w:space="0" w:color="auto"/>
        <w:bottom w:val="none" w:sz="0" w:space="0" w:color="auto"/>
        <w:right w:val="none" w:sz="0" w:space="0" w:color="auto"/>
      </w:divBdr>
      <w:divsChild>
        <w:div w:id="896285504">
          <w:marLeft w:val="0"/>
          <w:marRight w:val="0"/>
          <w:marTop w:val="0"/>
          <w:marBottom w:val="0"/>
          <w:divBdr>
            <w:top w:val="none" w:sz="0" w:space="0" w:color="auto"/>
            <w:left w:val="none" w:sz="0" w:space="0" w:color="auto"/>
            <w:bottom w:val="none" w:sz="0" w:space="0" w:color="auto"/>
            <w:right w:val="none" w:sz="0" w:space="0" w:color="auto"/>
          </w:divBdr>
          <w:divsChild>
            <w:div w:id="362245262">
              <w:marLeft w:val="0"/>
              <w:marRight w:val="0"/>
              <w:marTop w:val="0"/>
              <w:marBottom w:val="0"/>
              <w:divBdr>
                <w:top w:val="none" w:sz="0" w:space="0" w:color="auto"/>
                <w:left w:val="none" w:sz="0" w:space="0" w:color="auto"/>
                <w:bottom w:val="none" w:sz="0" w:space="0" w:color="auto"/>
                <w:right w:val="none" w:sz="0" w:space="0" w:color="auto"/>
              </w:divBdr>
              <w:divsChild>
                <w:div w:id="8530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uclear_magnetic_resonance" TargetMode="External"/><Relationship Id="rId13" Type="http://schemas.openxmlformats.org/officeDocument/2006/relationships/hyperlink" Target="http://en.wikipedia.org/wiki/Phosphoric_acid"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hyperlink" Target="mailto:zdu@gsu.edu" TargetMode="External"/><Relationship Id="rId12" Type="http://schemas.openxmlformats.org/officeDocument/2006/relationships/hyperlink" Target="http://en.wikipedia.org/wiki/Phosphines" TargetMode="External"/><Relationship Id="rId17" Type="http://schemas.openxmlformats.org/officeDocument/2006/relationships/hyperlink" Target="http://www.google.com/url?sa=i&amp;rct=j&amp;q=&amp;source=images&amp;cd=&amp;cad=rja&amp;docid=wqKqHOQK1YlYPM&amp;tbnid=UM_omnHl1P4cTM:&amp;ved=0CAUQjRw&amp;url=http%3A%2F%2Fwww.sigmaaldrich.com%2Fcatalog%2Fproduct%2Faldrich%2F241288%3Flang%3Den%26region%3DUS&amp;ei=ZKe3Ufu_KpPu9ASJkIGoCw&amp;bvm=bv.47810305,d.eWU&amp;psig=AFQjCNE6wwXrW9CfSF-pNtG5dG2oss-ILA&amp;ust=1371076741931934" TargetMode="External"/><Relationship Id="rId2" Type="http://schemas.openxmlformats.org/officeDocument/2006/relationships/customXml" Target="../customXml/item2.xml"/><Relationship Id="rId16" Type="http://schemas.openxmlformats.org/officeDocument/2006/relationships/hyperlink" Target="http://en.wikipedia.org/wiki/Phosphorus-31_NMR_spectroscop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Organic_compound" TargetMode="External"/><Relationship Id="rId5" Type="http://schemas.openxmlformats.org/officeDocument/2006/relationships/settings" Target="settings.xml"/><Relationship Id="rId15" Type="http://schemas.openxmlformats.org/officeDocument/2006/relationships/hyperlink" Target="http://en.wikipedia.org/wiki/Nuclear_Overhauser_effect" TargetMode="External"/><Relationship Id="rId10" Type="http://schemas.openxmlformats.org/officeDocument/2006/relationships/hyperlink" Target="http://en.wikipedia.org/wiki/Magnetogyric_ratio"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en.wikipedia.org/wiki/Isotopic_abundance" TargetMode="External"/><Relationship Id="rId14" Type="http://schemas.openxmlformats.org/officeDocument/2006/relationships/hyperlink" Target="http://en.wikipedia.org/wiki/Phosphorus-31_NMR_spectros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FB08B98E20DF4D99597BB457AF75CF" ma:contentTypeVersion="0" ma:contentTypeDescription="Create a new document." ma:contentTypeScope="" ma:versionID="58dd3b0465fa719b85e79889eafaf428">
  <xsd:schema xmlns:xsd="http://www.w3.org/2001/XMLSchema" xmlns:xs="http://www.w3.org/2001/XMLSchema" xmlns:p="http://schemas.microsoft.com/office/2006/metadata/properties" targetNamespace="http://schemas.microsoft.com/office/2006/metadata/properties" ma:root="true" ma:fieldsID="e339e87764f6cbecf322c923f04460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3AE7D-3333-4449-9AED-B0BCE9B0A4B9}">
  <ds:schemaRefs>
    <ds:schemaRef ds:uri="http://schemas.microsoft.com/sharepoint/v3/contenttype/forms"/>
  </ds:schemaRefs>
</ds:datastoreItem>
</file>

<file path=customXml/itemProps2.xml><?xml version="1.0" encoding="utf-8"?>
<ds:datastoreItem xmlns:ds="http://schemas.openxmlformats.org/officeDocument/2006/customXml" ds:itemID="{13EC6EA4-5909-4C97-B0E7-88FBE25A0C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965588-4A07-4AA3-89DD-61EE46F47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3013</TotalTime>
  <Pages>5</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dc:creator>
  <cp:lastModifiedBy>Jimmy, Zhenming Du</cp:lastModifiedBy>
  <cp:revision>8</cp:revision>
  <cp:lastPrinted>2013-06-11T23:42:00Z</cp:lastPrinted>
  <dcterms:created xsi:type="dcterms:W3CDTF">2013-06-11T22:33:00Z</dcterms:created>
  <dcterms:modified xsi:type="dcterms:W3CDTF">2024-03-29T17:57:00Z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0x010100C6FB08B98E20DF4D99597BB457AF75CF</vt:lpwstr>
  </property>
  <property fmtid="{D5CDD505-2E9C-101B-9397-08002B2CF9AE}" pid="3" name="IsMyDocuments">
    <vt:bool>true</vt:bool>
  </property>
</Properties>
</file>